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76A" w:rsidRDefault="00FB5F40" w:rsidP="009C076A">
      <w:pPr>
        <w:widowControl w:val="0"/>
        <w:jc w:val="center"/>
        <w:rPr>
          <w:noProof/>
        </w:rPr>
      </w:pPr>
      <w:r>
        <w:rPr>
          <w:b/>
        </w:rPr>
        <w:t>MỤC LỤC</w:t>
      </w:r>
      <w:r w:rsidR="009C076A">
        <w:rPr>
          <w:rFonts w:cs="Times New Roman"/>
          <w:szCs w:val="28"/>
        </w:rPr>
        <w:fldChar w:fldCharType="begin"/>
      </w:r>
      <w:r w:rsidR="009C076A">
        <w:rPr>
          <w:rFonts w:cs="Times New Roman"/>
          <w:szCs w:val="28"/>
        </w:rPr>
        <w:instrText xml:space="preserve"> TOC \o "1-2" \h \z \u </w:instrText>
      </w:r>
      <w:r w:rsidR="009C076A">
        <w:rPr>
          <w:rFonts w:cs="Times New Roman"/>
          <w:szCs w:val="28"/>
        </w:rPr>
        <w:fldChar w:fldCharType="separate"/>
      </w:r>
    </w:p>
    <w:p w:rsidR="009C076A" w:rsidRPr="009C076A" w:rsidRDefault="009C076A" w:rsidP="009C076A">
      <w:pPr>
        <w:pStyle w:val="TOC1"/>
        <w:tabs>
          <w:tab w:val="right" w:leader="dot" w:pos="6397"/>
        </w:tabs>
        <w:spacing w:after="0" w:line="300" w:lineRule="auto"/>
        <w:rPr>
          <w:rFonts w:cs="Times New Roman"/>
          <w:noProof/>
          <w:szCs w:val="28"/>
        </w:rPr>
      </w:pPr>
      <w:hyperlink w:anchor="_Toc240271438" w:history="1">
        <w:r w:rsidRPr="009C076A">
          <w:rPr>
            <w:rFonts w:cs="Times New Roman"/>
            <w:noProof/>
            <w:szCs w:val="28"/>
          </w:rPr>
          <w:t>MỞ ĐẦU</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_Toc240271438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2</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39" w:history="1">
        <w:r w:rsidRPr="009C076A">
          <w:rPr>
            <w:rFonts w:cs="Times New Roman"/>
            <w:noProof/>
            <w:szCs w:val="28"/>
          </w:rPr>
          <w:t>1. Tính cấp thiết của đề tài</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_Toc240271439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2</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40" w:history="1">
        <w:r w:rsidRPr="009C076A">
          <w:rPr>
            <w:rFonts w:cs="Times New Roman"/>
            <w:noProof/>
            <w:szCs w:val="28"/>
          </w:rPr>
          <w:t>2. Mục đích, nhiệm vụ, đối tượng và phạm vi nghiên cứu</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_Toc240271440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3</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41" w:history="1">
        <w:r w:rsidRPr="009C076A">
          <w:rPr>
            <w:rFonts w:cs="Times New Roman"/>
            <w:noProof/>
            <w:szCs w:val="28"/>
          </w:rPr>
          <w:t>3. Phương pháp, giả thuyết và đóng góp mới</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_Toc240271441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4</w:t>
        </w:r>
        <w:r w:rsidRPr="009C076A">
          <w:rPr>
            <w:rFonts w:cs="Times New Roman"/>
            <w:noProof/>
            <w:webHidden/>
            <w:szCs w:val="28"/>
          </w:rPr>
          <w:fldChar w:fldCharType="end"/>
        </w:r>
      </w:hyperlink>
    </w:p>
    <w:p w:rsidR="009C076A" w:rsidRPr="009C076A" w:rsidRDefault="009C076A" w:rsidP="009C076A">
      <w:pPr>
        <w:pStyle w:val="TOC1"/>
        <w:tabs>
          <w:tab w:val="right" w:leader="dot" w:pos="6397"/>
        </w:tabs>
        <w:spacing w:after="0" w:line="300" w:lineRule="auto"/>
        <w:rPr>
          <w:rFonts w:cs="Times New Roman"/>
          <w:noProof/>
          <w:szCs w:val="28"/>
        </w:rPr>
      </w:pPr>
      <w:hyperlink w:anchor="_Toc240271442" w:history="1">
        <w:r w:rsidRPr="009C076A">
          <w:rPr>
            <w:rFonts w:cs="Times New Roman"/>
            <w:noProof/>
            <w:szCs w:val="28"/>
          </w:rPr>
          <w:t>TỔNG QUAN TÌNH HÌNH NGHIÊN CỨU</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_Toc240271442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4</w:t>
        </w:r>
        <w:r w:rsidRPr="009C076A">
          <w:rPr>
            <w:rFonts w:cs="Times New Roman"/>
            <w:noProof/>
            <w:webHidden/>
            <w:szCs w:val="28"/>
          </w:rPr>
          <w:fldChar w:fldCharType="end"/>
        </w:r>
      </w:hyperlink>
    </w:p>
    <w:p w:rsidR="009C076A" w:rsidRPr="009C076A" w:rsidRDefault="009C076A" w:rsidP="009C076A">
      <w:pPr>
        <w:pStyle w:val="TOC1"/>
        <w:tabs>
          <w:tab w:val="right" w:leader="dot" w:pos="6397"/>
        </w:tabs>
        <w:spacing w:after="0" w:line="300" w:lineRule="auto"/>
        <w:rPr>
          <w:rFonts w:cs="Times New Roman"/>
          <w:noProof/>
          <w:szCs w:val="28"/>
        </w:rPr>
      </w:pPr>
      <w:hyperlink w:anchor="_Toc240271443" w:history="1">
        <w:r w:rsidRPr="009C076A">
          <w:rPr>
            <w:rFonts w:cs="Times New Roman"/>
            <w:noProof/>
            <w:szCs w:val="28"/>
          </w:rPr>
          <w:t>CHƯƠNG 1. NHỮNG VẤN ĐỀ LÝ LUẬN VỀ HOÀN THIỆN PHÁP LUẬT VỀ QUYỀN LẬP HỘI</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_Toc240271443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6</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44" w:history="1">
        <w:r w:rsidRPr="009C076A">
          <w:rPr>
            <w:rFonts w:cs="Times New Roman"/>
            <w:noProof/>
            <w:szCs w:val="28"/>
          </w:rPr>
          <w:t>1.1. Quyền lập hội và pháp luật về quyền lập hội</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_Toc240271444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6</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45" w:history="1">
        <w:r w:rsidRPr="009C076A">
          <w:rPr>
            <w:rFonts w:cs="Times New Roman"/>
            <w:noProof/>
            <w:szCs w:val="28"/>
          </w:rPr>
          <w:t>1.2. Nội dung, yếu tố ảnh hưởng và yêu cầu hoàn thiện</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_Toc240271445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7</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46" w:history="1">
        <w:r w:rsidRPr="009C076A">
          <w:rPr>
            <w:rFonts w:cs="Times New Roman"/>
            <w:noProof/>
            <w:szCs w:val="28"/>
          </w:rPr>
          <w:t>1.3. Chuẩn mực quốc tế, kinh nghi</w:t>
        </w:r>
        <w:bookmarkStart w:id="0" w:name="_GoBack"/>
        <w:bookmarkEnd w:id="0"/>
        <w:r w:rsidRPr="009C076A">
          <w:rPr>
            <w:rFonts w:cs="Times New Roman"/>
            <w:noProof/>
            <w:szCs w:val="28"/>
          </w:rPr>
          <w:t>ệm quốc gia và bài học cho Việt Nam</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_Toc240271446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8</w:t>
        </w:r>
        <w:r w:rsidRPr="009C076A">
          <w:rPr>
            <w:rFonts w:cs="Times New Roman"/>
            <w:noProof/>
            <w:webHidden/>
            <w:szCs w:val="28"/>
          </w:rPr>
          <w:fldChar w:fldCharType="end"/>
        </w:r>
      </w:hyperlink>
    </w:p>
    <w:p w:rsidR="009C076A" w:rsidRPr="009C076A" w:rsidRDefault="009C076A" w:rsidP="009C076A">
      <w:pPr>
        <w:pStyle w:val="TOC1"/>
        <w:tabs>
          <w:tab w:val="right" w:leader="dot" w:pos="6397"/>
        </w:tabs>
        <w:spacing w:after="0" w:line="300" w:lineRule="auto"/>
        <w:rPr>
          <w:rFonts w:cs="Times New Roman"/>
          <w:noProof/>
          <w:szCs w:val="28"/>
        </w:rPr>
      </w:pPr>
      <w:hyperlink w:anchor="_Toc240271447" w:history="1">
        <w:r w:rsidRPr="009C076A">
          <w:rPr>
            <w:rFonts w:cs="Times New Roman"/>
            <w:noProof/>
            <w:szCs w:val="28"/>
          </w:rPr>
          <w:t>CHƯƠNG 2. THỰC TRẠNG PHÁP LUẬT VÀ THỰC TIỄN THỰC HIỆN QUYỀN LẬP HỘI Ở VIỆT NAM</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_Toc240271447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9</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48" w:history="1">
        <w:r w:rsidRPr="009C076A">
          <w:rPr>
            <w:rFonts w:cs="Times New Roman"/>
            <w:noProof/>
            <w:szCs w:val="28"/>
          </w:rPr>
          <w:t>2.1. Quá trình phát triển và cấu trúc pháp luật hiện hành</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_Toc240271448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9</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49" w:history="1">
        <w:r w:rsidRPr="009C076A">
          <w:rPr>
            <w:rFonts w:cs="Times New Roman"/>
            <w:noProof/>
            <w:szCs w:val="28"/>
          </w:rPr>
          <w:t>2.2. Thực trạng pháp luật theo các cấu phần của quyền</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_Toc240271449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10</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50" w:history="1">
        <w:r w:rsidRPr="009C076A">
          <w:rPr>
            <w:rFonts w:cs="Times New Roman"/>
            <w:noProof/>
            <w:szCs w:val="28"/>
          </w:rPr>
          <w:t>2.3. Thực tiễn thi hành và thực hiện quyền</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_Toc240271450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13</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51" w:history="1">
        <w:r w:rsidRPr="009C076A">
          <w:rPr>
            <w:rFonts w:cs="Times New Roman"/>
            <w:noProof/>
            <w:szCs w:val="28"/>
          </w:rPr>
          <w:t>2.4. Thành tựu, hạn chế và nguyên nhân</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_Toc240271451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14</w:t>
        </w:r>
        <w:r w:rsidRPr="009C076A">
          <w:rPr>
            <w:rFonts w:cs="Times New Roman"/>
            <w:noProof/>
            <w:webHidden/>
            <w:szCs w:val="28"/>
          </w:rPr>
          <w:fldChar w:fldCharType="end"/>
        </w:r>
      </w:hyperlink>
    </w:p>
    <w:p w:rsidR="009C076A" w:rsidRPr="009C076A" w:rsidRDefault="009C076A" w:rsidP="009C076A">
      <w:pPr>
        <w:pStyle w:val="TOC1"/>
        <w:tabs>
          <w:tab w:val="right" w:leader="dot" w:pos="6397"/>
        </w:tabs>
        <w:spacing w:after="0" w:line="300" w:lineRule="auto"/>
        <w:rPr>
          <w:rFonts w:cs="Times New Roman"/>
          <w:noProof/>
          <w:szCs w:val="28"/>
        </w:rPr>
      </w:pPr>
      <w:hyperlink w:anchor="_Toc240271452" w:history="1">
        <w:r w:rsidRPr="009C076A">
          <w:rPr>
            <w:rFonts w:cs="Times New Roman"/>
            <w:noProof/>
            <w:szCs w:val="28"/>
          </w:rPr>
          <w:t>CHƯƠNG 3. QUAN ĐIỂM, ĐỊNH HƯỚNG VÀ GIẢI PHÁP HOÀN THIỆN PHÁP LUẬT, BẢO ĐẢM THI HÀNH PHÁP LUẬT VỀ QUYỀN LẬP HỘI Ở VIỆT NAM</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_Toc240271452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15</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53" w:history="1">
        <w:r w:rsidRPr="009C076A">
          <w:rPr>
            <w:rFonts w:cs="Times New Roman"/>
            <w:noProof/>
            <w:szCs w:val="28"/>
          </w:rPr>
          <w:t>3.1. Bối cảnh, quan điểm và định hướng</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_Toc240271453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15</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54" w:history="1">
        <w:r w:rsidRPr="009C076A">
          <w:rPr>
            <w:rFonts w:cs="Times New Roman"/>
            <w:noProof/>
            <w:szCs w:val="28"/>
          </w:rPr>
          <w:t>3.2. Giải pháp hoàn thiện pháp luật</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_Toc240271454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16</w:t>
        </w:r>
        <w:r w:rsidRPr="009C076A">
          <w:rPr>
            <w:rFonts w:cs="Times New Roman"/>
            <w:noProof/>
            <w:webHidden/>
            <w:szCs w:val="28"/>
          </w:rPr>
          <w:fldChar w:fldCharType="end"/>
        </w:r>
      </w:hyperlink>
    </w:p>
    <w:p w:rsidR="009C076A" w:rsidRPr="009C076A" w:rsidRDefault="009C076A" w:rsidP="009C076A">
      <w:pPr>
        <w:pStyle w:val="TOC2"/>
        <w:tabs>
          <w:tab w:val="right" w:leader="dot" w:pos="6397"/>
        </w:tabs>
        <w:spacing w:after="0" w:line="300" w:lineRule="auto"/>
        <w:rPr>
          <w:rFonts w:cs="Times New Roman"/>
          <w:noProof/>
          <w:szCs w:val="28"/>
        </w:rPr>
      </w:pPr>
      <w:hyperlink w:anchor="_Toc240271455" w:history="1">
        <w:r w:rsidRPr="009C076A">
          <w:rPr>
            <w:rFonts w:cs="Times New Roman"/>
            <w:noProof/>
            <w:szCs w:val="28"/>
          </w:rPr>
          <w:t>3.3. Giải pháp bảo đảm thi hành</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_Toc240271455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19</w:t>
        </w:r>
        <w:r w:rsidRPr="009C076A">
          <w:rPr>
            <w:rFonts w:cs="Times New Roman"/>
            <w:noProof/>
            <w:webHidden/>
            <w:szCs w:val="28"/>
          </w:rPr>
          <w:fldChar w:fldCharType="end"/>
        </w:r>
      </w:hyperlink>
    </w:p>
    <w:p w:rsidR="009C076A" w:rsidRPr="009C076A" w:rsidRDefault="009C076A" w:rsidP="009C076A">
      <w:pPr>
        <w:pStyle w:val="TOC1"/>
        <w:tabs>
          <w:tab w:val="right" w:leader="dot" w:pos="6397"/>
        </w:tabs>
        <w:spacing w:after="0" w:line="300" w:lineRule="auto"/>
        <w:rPr>
          <w:rFonts w:cs="Times New Roman"/>
          <w:noProof/>
          <w:szCs w:val="28"/>
        </w:rPr>
      </w:pPr>
      <w:hyperlink w:anchor="_Toc240271456" w:history="1">
        <w:r w:rsidRPr="009C076A">
          <w:rPr>
            <w:rFonts w:cs="Times New Roman"/>
            <w:noProof/>
            <w:szCs w:val="28"/>
          </w:rPr>
          <w:t>KẾT LUẬN</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_Toc240271456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20</w:t>
        </w:r>
        <w:r w:rsidRPr="009C076A">
          <w:rPr>
            <w:rFonts w:cs="Times New Roman"/>
            <w:noProof/>
            <w:webHidden/>
            <w:szCs w:val="28"/>
          </w:rPr>
          <w:fldChar w:fldCharType="end"/>
        </w:r>
      </w:hyperlink>
    </w:p>
    <w:p w:rsidR="009C076A" w:rsidRPr="009C076A" w:rsidRDefault="009C076A" w:rsidP="009C076A">
      <w:pPr>
        <w:pStyle w:val="TOC1"/>
        <w:tabs>
          <w:tab w:val="right" w:leader="dot" w:pos="6397"/>
        </w:tabs>
        <w:spacing w:after="0" w:line="300" w:lineRule="auto"/>
        <w:rPr>
          <w:rFonts w:cs="Times New Roman"/>
          <w:noProof/>
          <w:szCs w:val="28"/>
        </w:rPr>
      </w:pPr>
      <w:hyperlink w:anchor="_Toc240271457" w:history="1">
        <w:r w:rsidRPr="009C076A">
          <w:rPr>
            <w:rFonts w:cs="Times New Roman"/>
            <w:noProof/>
            <w:szCs w:val="28"/>
          </w:rPr>
          <w:t>HƯỚNG NGHIÊN CỨU TIẾP THEO</w:t>
        </w:r>
        <w:r w:rsidRPr="009C076A">
          <w:rPr>
            <w:rFonts w:cs="Times New Roman"/>
            <w:noProof/>
            <w:webHidden/>
            <w:szCs w:val="28"/>
          </w:rPr>
          <w:tab/>
        </w:r>
        <w:r w:rsidRPr="009C076A">
          <w:rPr>
            <w:rFonts w:cs="Times New Roman"/>
            <w:noProof/>
            <w:webHidden/>
            <w:szCs w:val="28"/>
          </w:rPr>
          <w:fldChar w:fldCharType="begin"/>
        </w:r>
        <w:r w:rsidRPr="009C076A">
          <w:rPr>
            <w:rFonts w:cs="Times New Roman"/>
            <w:noProof/>
            <w:webHidden/>
            <w:szCs w:val="28"/>
          </w:rPr>
          <w:instrText xml:space="preserve"> PAGEREF _Toc240271457 \h </w:instrText>
        </w:r>
        <w:r w:rsidRPr="009C076A">
          <w:rPr>
            <w:rFonts w:cs="Times New Roman"/>
            <w:noProof/>
            <w:webHidden/>
            <w:szCs w:val="28"/>
          </w:rPr>
        </w:r>
        <w:r w:rsidRPr="009C076A">
          <w:rPr>
            <w:rFonts w:cs="Times New Roman"/>
            <w:noProof/>
            <w:webHidden/>
            <w:szCs w:val="28"/>
          </w:rPr>
          <w:fldChar w:fldCharType="separate"/>
        </w:r>
        <w:r>
          <w:rPr>
            <w:rFonts w:cs="Times New Roman"/>
            <w:noProof/>
            <w:webHidden/>
            <w:szCs w:val="28"/>
          </w:rPr>
          <w:t>23</w:t>
        </w:r>
        <w:r w:rsidRPr="009C076A">
          <w:rPr>
            <w:rFonts w:cs="Times New Roman"/>
            <w:noProof/>
            <w:webHidden/>
            <w:szCs w:val="28"/>
          </w:rPr>
          <w:fldChar w:fldCharType="end"/>
        </w:r>
      </w:hyperlink>
    </w:p>
    <w:p w:rsidR="00D30159" w:rsidRPr="009C076A" w:rsidRDefault="009C076A" w:rsidP="009C076A">
      <w:pPr>
        <w:widowControl w:val="0"/>
        <w:rPr>
          <w:rFonts w:cs="Times New Roman"/>
          <w:sz w:val="2"/>
          <w:szCs w:val="28"/>
        </w:rPr>
      </w:pPr>
      <w:r>
        <w:rPr>
          <w:rFonts w:cs="Times New Roman"/>
          <w:szCs w:val="28"/>
        </w:rPr>
        <w:fldChar w:fldCharType="end"/>
      </w:r>
    </w:p>
    <w:p w:rsidR="00D30159" w:rsidRPr="009C076A" w:rsidRDefault="00FB5F40" w:rsidP="009C076A">
      <w:pPr>
        <w:pStyle w:val="Heading1"/>
      </w:pPr>
      <w:bookmarkStart w:id="1" w:name="_Toc237284383"/>
      <w:bookmarkStart w:id="2" w:name="_Toc240271438"/>
      <w:r w:rsidRPr="009C076A">
        <w:lastRenderedPageBreak/>
        <w:t>MỞ ĐẦU</w:t>
      </w:r>
      <w:bookmarkEnd w:id="1"/>
      <w:bookmarkEnd w:id="2"/>
    </w:p>
    <w:p w:rsidR="00D30159" w:rsidRPr="009C076A" w:rsidRDefault="00FB5F40" w:rsidP="009C076A">
      <w:pPr>
        <w:pStyle w:val="Heading2"/>
      </w:pPr>
      <w:bookmarkStart w:id="3" w:name="_Toc237284384"/>
      <w:bookmarkStart w:id="4" w:name="_Toc240271439"/>
      <w:r w:rsidRPr="009C076A">
        <w:t>1. Tính cấp thiết của đề tài</w:t>
      </w:r>
      <w:bookmarkEnd w:id="3"/>
      <w:bookmarkEnd w:id="4"/>
    </w:p>
    <w:p w:rsidR="00D30159" w:rsidRPr="00AD0FC8" w:rsidRDefault="00FB5F40" w:rsidP="009C076A">
      <w:pPr>
        <w:widowControl w:val="0"/>
        <w:ind w:firstLine="709"/>
        <w:jc w:val="both"/>
        <w:rPr>
          <w:rFonts w:cs="Times New Roman"/>
          <w:sz w:val="28"/>
          <w:szCs w:val="28"/>
        </w:rPr>
      </w:pPr>
      <w:r w:rsidRPr="00AD0FC8">
        <w:rPr>
          <w:rFonts w:cs="Times New Roman"/>
          <w:szCs w:val="28"/>
        </w:rPr>
        <w:t>Quyền lập hội là quyền cơ bản của con người, quyền cơ bản của công dân, được ghi nhận trong các văn kiện quốc tế về quyền con người và tại Điều 25 Hiến pháp năm 2013. Quyền này cho phép cá nhân tự nguyện liên kết để theo đuổi mục đích chung hợp pháp, đại diện và bảo vệ lợi ích, tham gia đời sống xã hội; đồng thời tạo điều kiện để các hội đóng góp vào cung cấp dịch vụ, phản biện chính sách và quản trị quốc gia. Vì vậy, bảo đảm quyền lập hội vừa là yêu cầu của Nhà nước pháp quyền, vừa là điều kiện phát huy dân chủ và nguồn lực xã hội.</w:t>
      </w:r>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Ở Việt Nam, quyền lập hội đã có nền tảng hiến định nhưng chưa được cụ thể hóa bằng một đạo luật chuyên ngành. Nhiều nội dung trực tiếp liên quan đến việc thực hiện và giới hạn quyền vẫn chủ yếu do văn bản dưới luật điều chỉnh, nhất là Nghị định số 126/2024/NĐ-CP. Cơ chế thành lập hội còn mang dấu ấn xin phép, tiền kiểm; quyền tự chủ, tiếp cận nguồn lực và cơ chế bảo vệ quyền chưa thật đầy đủ; quản lý nhà nước chưa chuyển mạnh sang hậu kiểm dựa trên dữ liệu và rủi ro. Trong bối cảnh xây dựng Nhà nước pháp quyền xã hội chủ nghĩa, tổ chức chính quyền địa phương hai </w:t>
      </w:r>
      <w:r w:rsidRPr="00AD0FC8">
        <w:rPr>
          <w:rFonts w:cs="Times New Roman"/>
          <w:szCs w:val="28"/>
        </w:rPr>
        <w:lastRenderedPageBreak/>
        <w:t>cấp, chuyển đổi số và hội nhập quốc tế, việc nghiên cứu hoàn thiện pháp luật về quyền lập hội có ý nghĩa cấp thiết cả về lý luận và thực tiễn.</w:t>
      </w:r>
    </w:p>
    <w:p w:rsidR="00D30159" w:rsidRPr="009C076A" w:rsidRDefault="00FB5F40" w:rsidP="009C076A">
      <w:pPr>
        <w:pStyle w:val="Heading2"/>
      </w:pPr>
      <w:bookmarkStart w:id="5" w:name="_Toc237284385"/>
      <w:bookmarkStart w:id="6" w:name="_Toc240271440"/>
      <w:r w:rsidRPr="009C076A">
        <w:t>2. Mục đích, nhiệm vụ, đối tượng và phạm vi nghiên cứu</w:t>
      </w:r>
      <w:bookmarkEnd w:id="5"/>
      <w:bookmarkEnd w:id="6"/>
    </w:p>
    <w:p w:rsidR="00D30159" w:rsidRPr="00AD0FC8" w:rsidRDefault="00FB5F40" w:rsidP="009C076A">
      <w:pPr>
        <w:widowControl w:val="0"/>
        <w:ind w:firstLine="709"/>
        <w:jc w:val="both"/>
        <w:rPr>
          <w:rFonts w:cs="Times New Roman"/>
          <w:sz w:val="28"/>
          <w:szCs w:val="28"/>
        </w:rPr>
      </w:pPr>
      <w:r w:rsidRPr="00AD0FC8">
        <w:rPr>
          <w:rFonts w:cs="Times New Roman"/>
          <w:szCs w:val="28"/>
        </w:rPr>
        <w:t>Luận án nhằm làm rõ cơ sở lý luận; đánh giá thực trạng pháp luật và thực tiễn thi hành; từ đó đề xuất quan điểm, định hướng và giải pháp hoàn thiện pháp luật về quyền lập hội phù hợp với Hiến pháp năm 2013, chuẩn mực pháp lý quốc tế và điều kiện Việt Nam. Bốn nhiệm vụ chính gồm: xây dựng cơ sở lý luận; nghiên cứu chuẩn mực quốc tế và kinh nghiệm so sánh; phân tích thực trạng pháp luật, thực tiễn; đề xuất giải pháp lập pháp và bảo đảm thi hành.</w:t>
      </w:r>
    </w:p>
    <w:p w:rsidR="00D30159" w:rsidRPr="00AD0FC8" w:rsidRDefault="00FB5F40" w:rsidP="009C076A">
      <w:pPr>
        <w:widowControl w:val="0"/>
        <w:ind w:firstLine="709"/>
        <w:jc w:val="both"/>
        <w:rPr>
          <w:rFonts w:cs="Times New Roman"/>
          <w:sz w:val="28"/>
          <w:szCs w:val="28"/>
        </w:rPr>
      </w:pPr>
      <w:r w:rsidRPr="00AD0FC8">
        <w:rPr>
          <w:rFonts w:cs="Times New Roman"/>
          <w:szCs w:val="28"/>
        </w:rPr>
        <w:t>Đối tượng nghiên cứu là các quan điểm khoa học, quy định pháp luật và thực tiễn thi hành liên quan đến quyền lập hội. Luận án tập trung vào khung pháp luật chung đối với hội do công dân, tổ chức Việt Nam tự nguyện thành lập, hoạt động không vì mục tiêu phân chia lợi nhuận; không đi sâu vào các tổ chức chính trị - xã hội, tôn giáo, đại diện người lao động, quỹ và tổ chức được điều chỉnh chủ yếu bằng pháp luật chuyên ngành. Thời kỳ nghiên cứu trọng tâm từ Hiến pháp năm 2013; tài liệu được cập nhật đến ngày 10/8/2026.</w:t>
      </w:r>
    </w:p>
    <w:p w:rsidR="00D30159" w:rsidRPr="009C076A" w:rsidRDefault="00FB5F40" w:rsidP="009C076A">
      <w:pPr>
        <w:pStyle w:val="Heading2"/>
      </w:pPr>
      <w:bookmarkStart w:id="7" w:name="_Toc237284386"/>
      <w:bookmarkStart w:id="8" w:name="_Toc240271441"/>
      <w:r w:rsidRPr="009C076A">
        <w:lastRenderedPageBreak/>
        <w:t>3. Phương pháp, giả thuyết và đóng góp mới</w:t>
      </w:r>
      <w:bookmarkEnd w:id="7"/>
      <w:bookmarkEnd w:id="8"/>
    </w:p>
    <w:p w:rsidR="00D30159" w:rsidRPr="000C7357" w:rsidRDefault="00FB5F40" w:rsidP="009C076A">
      <w:pPr>
        <w:widowControl w:val="0"/>
        <w:ind w:firstLine="709"/>
        <w:jc w:val="both"/>
        <w:rPr>
          <w:rFonts w:cs="Times New Roman"/>
          <w:spacing w:val="-2"/>
          <w:sz w:val="28"/>
          <w:szCs w:val="28"/>
        </w:rPr>
      </w:pPr>
      <w:r w:rsidRPr="000C7357">
        <w:rPr>
          <w:rFonts w:cs="Times New Roman"/>
          <w:spacing w:val="-2"/>
          <w:szCs w:val="28"/>
        </w:rPr>
        <w:t>Luận án vận dụng phương pháp luận duy vật biện chứng, duy vật lịch sử và quan điểm của Đảng, Nhà nước về quyền con người, Nhà nước pháp quyền; kết hợp phân tích, tổng hợp, lịch sử, hệ thống, so sánh luật học, tiếp cận dựa trên quyền và xã hội học pháp luật. Khảo sát g</w:t>
      </w:r>
      <w:r w:rsidR="009C076A">
        <w:rPr>
          <w:rFonts w:cs="Times New Roman"/>
          <w:spacing w:val="-2"/>
          <w:szCs w:val="28"/>
        </w:rPr>
        <w:t>ồm 180 phiếu phát ra, thu về 146</w:t>
      </w:r>
      <w:r w:rsidRPr="000C7357">
        <w:rPr>
          <w:rFonts w:cs="Times New Roman"/>
          <w:spacing w:val="-2"/>
          <w:szCs w:val="28"/>
        </w:rPr>
        <w:t xml:space="preserve"> phiếu hợp lệ, kết hợp phỏng vấn sâu và trao đổi chuyên gia; kết quả được sử dụng để nhận diện xu hướng, không suy rộng như mẫu đại diện thống kê toàn quốc.</w:t>
      </w:r>
    </w:p>
    <w:p w:rsidR="00D30159" w:rsidRPr="00AD0FC8" w:rsidRDefault="00FB5F40" w:rsidP="009C076A">
      <w:pPr>
        <w:widowControl w:val="0"/>
        <w:ind w:firstLine="709"/>
        <w:jc w:val="both"/>
        <w:rPr>
          <w:rFonts w:cs="Times New Roman"/>
          <w:sz w:val="28"/>
          <w:szCs w:val="28"/>
        </w:rPr>
      </w:pPr>
      <w:r w:rsidRPr="00AD0FC8">
        <w:rPr>
          <w:rFonts w:cs="Times New Roman"/>
          <w:szCs w:val="28"/>
        </w:rPr>
        <w:t>Giả thuyết của luận án là khoảng cách giữa ghi nhận hiến định và thực hiện quyền lập hội bắt nguồn không chỉ từ việc thiếu Luật về hội mà còn từ cấu trúc nguồn luật phân tán, mô hình tiền kiểm, giới hạn quyền tự chủ và cơ chế bảo vệ quyền chưa đầy đủ. Đóng góp mới là xây dựng cách tiếp cận pháp luật về quyền lập hội dựa trên quyền; xác định cấu trúc quyền, các tầng chủ thể và tám tiêu chí đánh giá; nhận diện những hạn chế có tính cấu trúc; đề xuất mô hình kết hợp Luật về hội, cơ chế đăng ký, tự chủ, nghĩa vụ phân tầng, hậu kiểm dựa trên rủi ro và kiểm soát tư pháp.</w:t>
      </w:r>
    </w:p>
    <w:p w:rsidR="00D30159" w:rsidRPr="009C076A" w:rsidRDefault="00FB5F40" w:rsidP="009C076A">
      <w:pPr>
        <w:pStyle w:val="Heading1"/>
      </w:pPr>
      <w:bookmarkStart w:id="9" w:name="_Toc237284387"/>
      <w:bookmarkStart w:id="10" w:name="_Toc240271442"/>
      <w:r w:rsidRPr="009C076A">
        <w:t>TỔNG QUAN TÌNH HÌNH NGHIÊN CỨU</w:t>
      </w:r>
      <w:bookmarkEnd w:id="9"/>
      <w:bookmarkEnd w:id="10"/>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Các công trình trong nước đã đề cập tương đối phong phú đến quyền lập hội, pháp luật về hội, quản lý nhà nước </w:t>
      </w:r>
      <w:r w:rsidRPr="00AD0FC8">
        <w:rPr>
          <w:rFonts w:cs="Times New Roman"/>
          <w:szCs w:val="28"/>
        </w:rPr>
        <w:lastRenderedPageBreak/>
        <w:t>đối với hội và yêu cầu ban hành Luật về hội. Nhiều nghiên cứu thống nhất về sự cần thiết giảm tiền kiểm, tăng quyền tự chủ, minh bạch và hậu kiểm. Tuy nhiên, phần lớn chưa phân biệt đầy đủ pháp luật về quyền lập hội với pháp luật về hội, chưa xây dựng hệ tiêu chí đánh giá mức độ hoàn thiện, chưa cập nhật Nghị định số 126/2024/NĐ-CP và bối cảnh pháp luật năm 2025–2026, cũng chưa làm rõ vai trò của cơ chế tài phán trong bảo vệ quyền.</w:t>
      </w:r>
    </w:p>
    <w:p w:rsidR="00D30159" w:rsidRPr="009C076A" w:rsidRDefault="00FB5F40" w:rsidP="009C076A">
      <w:pPr>
        <w:widowControl w:val="0"/>
        <w:ind w:firstLine="709"/>
        <w:jc w:val="both"/>
        <w:rPr>
          <w:rFonts w:cs="Times New Roman"/>
          <w:spacing w:val="-4"/>
          <w:sz w:val="28"/>
          <w:szCs w:val="28"/>
        </w:rPr>
      </w:pPr>
      <w:r w:rsidRPr="009C076A">
        <w:rPr>
          <w:rFonts w:cs="Times New Roman"/>
          <w:spacing w:val="-4"/>
          <w:szCs w:val="28"/>
        </w:rPr>
        <w:t>Các nghiên cứu nước ngoài, tài liệu của Liên hợp quốc, ILO, OSCE/ODIHR, Ủy ban Venice và án lệ quốc tế làm rõ quyền thành lập, gia nhập, không gia nhập, rời khỏi hội; quyền tự chủ, tiếp cận nguồn lực; nguyên tắc giới hạn quyền phải do luật định, cần thiết và tương xứng; yêu cầu có cơ chế bảo vệ hiệu quả. Kinh nghiệm các quốc gia cho thấy xu hướng điều chỉnh bằng luật, thủ tục đăng ký minh bạch, hạn chế quyền tùy nghi của cơ quan hành chính, đề cao quản trị nội bộ và kiểm soát tư pháp. Khoảng trống mà luận án xử lý là kết nối các chuẩn mực này với điều kiện chính trị - pháp lý Việt Nam và với toàn bộ chu trình thực hiện, giới hạn, bảo vệ quyền.</w:t>
      </w:r>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Cơ sở lý thuyết của luận án gồm lý thuyết Nhà nước pháp quyền xã hội chủ nghĩa Việt Nam, cách tiếp cận dựa trên quyền và lý thuyết quản trị xã hội, xã hội dân sự. Ba nền </w:t>
      </w:r>
      <w:r w:rsidRPr="00AD0FC8">
        <w:rPr>
          <w:rFonts w:cs="Times New Roman"/>
          <w:szCs w:val="28"/>
        </w:rPr>
        <w:lastRenderedPageBreak/>
        <w:t>tảng được kết hợp theo hướng: thượng tôn Hiến pháp, kiểm soát quyền lực; xác định chủ thể quyền và nghĩa vụ của Nhà nước; đồng thời nhìn nhận hội là chủ thể tự quản có khả năng huy động nguồn lực và tham gia quản trị xã hội.</w:t>
      </w:r>
    </w:p>
    <w:p w:rsidR="00D30159" w:rsidRPr="009C076A" w:rsidRDefault="00FB5F40" w:rsidP="009C076A">
      <w:pPr>
        <w:pStyle w:val="Heading1"/>
      </w:pPr>
      <w:bookmarkStart w:id="11" w:name="_Toc237284388"/>
      <w:bookmarkStart w:id="12" w:name="_Toc240271443"/>
      <w:r w:rsidRPr="009C076A">
        <w:t>CHƯƠNG 1. NHỮNG VẤN ĐỀ LÝ LUẬN VỀ HOÀN THIỆN PHÁP LUẬT VỀ QUYỀN LẬP HỘI</w:t>
      </w:r>
      <w:bookmarkEnd w:id="11"/>
      <w:bookmarkEnd w:id="12"/>
    </w:p>
    <w:p w:rsidR="00D30159" w:rsidRPr="009C076A" w:rsidRDefault="00FB5F40" w:rsidP="009C076A">
      <w:pPr>
        <w:pStyle w:val="Heading2"/>
        <w:rPr>
          <w:rFonts w:ascii="Times New Roman Bold" w:hAnsi="Times New Roman Bold"/>
          <w:spacing w:val="-6"/>
        </w:rPr>
      </w:pPr>
      <w:bookmarkStart w:id="13" w:name="_Toc237284389"/>
      <w:bookmarkStart w:id="14" w:name="_Toc240271444"/>
      <w:r w:rsidRPr="009C076A">
        <w:rPr>
          <w:rFonts w:ascii="Times New Roman Bold" w:hAnsi="Times New Roman Bold"/>
          <w:spacing w:val="-6"/>
        </w:rPr>
        <w:t>1.1. Quyền lập hội và pháp luật về quyền lập hội</w:t>
      </w:r>
      <w:bookmarkEnd w:id="13"/>
      <w:bookmarkEnd w:id="14"/>
    </w:p>
    <w:p w:rsidR="00D30159" w:rsidRPr="000C7357" w:rsidRDefault="00FB5F40" w:rsidP="009C076A">
      <w:pPr>
        <w:widowControl w:val="0"/>
        <w:ind w:firstLine="709"/>
        <w:jc w:val="both"/>
        <w:rPr>
          <w:rFonts w:cs="Times New Roman"/>
          <w:spacing w:val="-2"/>
          <w:sz w:val="28"/>
          <w:szCs w:val="28"/>
        </w:rPr>
      </w:pPr>
      <w:r w:rsidRPr="000C7357">
        <w:rPr>
          <w:rFonts w:cs="Times New Roman"/>
          <w:spacing w:val="-2"/>
          <w:szCs w:val="28"/>
        </w:rPr>
        <w:t>Luận án xác định quyền lập hội là quyền hiến định của công dân trong việc tự nguyện liên kết với người khác để thành lập, gia nhập, không gia nhập, rời khỏi hội và cùng tổ chức, hoạt động nhằm theo đuổi mục đích chung hợp pháp; bao gồm quyền tự chủ, tiếp cận nguồn lực và được bảo vệ trước sự can thiệp trái pháp luật. Chủ thể gốc là cá nhân, công dân; trong quá trình thực hiện quyền hình thành các tầng chủ thể liên quan gồm nhóm sáng lập viên, hội và hội viên. Quyền lập hội có quan hệ chặt chẽ nhưng không đồng nhất với quyền hội họp, quyền biểu đạt, quyền tham gia quản lý nhà nước và quyền tự do kinh doanh.</w:t>
      </w:r>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Pháp luật về quyền lập hội là tổng thể các nguyên tắc và quy phạm pháp luật ghi nhận, cụ thể hóa, bảo đảm, giới hạn và bảo vệ quyền lập hội; điều chỉnh quan hệ phát sinh giữa công dân, nhóm sáng lập viên, hội, hội viên, cơ quan </w:t>
      </w:r>
      <w:r w:rsidRPr="00AD0FC8">
        <w:rPr>
          <w:rFonts w:cs="Times New Roman"/>
          <w:szCs w:val="28"/>
        </w:rPr>
        <w:lastRenderedPageBreak/>
        <w:t>nhà nước và chủ thể khác. Khái niệm này rộng hơn pháp luật về hội: pháp luật về hội thiên về địa vị pháp lý, tổ chức, hoạt động và quản lý hội; còn pháp luật về quyền lập hội đặt việc thực hiện và bảo vệ quyền hiến định ở vị trí trung tâm.</w:t>
      </w:r>
    </w:p>
    <w:p w:rsidR="00D30159" w:rsidRPr="009C076A" w:rsidRDefault="00FB5F40" w:rsidP="009C076A">
      <w:pPr>
        <w:pStyle w:val="Heading2"/>
        <w:rPr>
          <w:rFonts w:ascii="Times New Roman Bold" w:hAnsi="Times New Roman Bold"/>
        </w:rPr>
      </w:pPr>
      <w:bookmarkStart w:id="15" w:name="_Toc237284390"/>
      <w:bookmarkStart w:id="16" w:name="_Toc240271445"/>
      <w:r w:rsidRPr="009C076A">
        <w:rPr>
          <w:rFonts w:ascii="Times New Roman Bold" w:hAnsi="Times New Roman Bold"/>
        </w:rPr>
        <w:t>1.2. Nội dung, yếu tố ảnh hưởng và yêu cầu hoàn thiện</w:t>
      </w:r>
      <w:bookmarkEnd w:id="15"/>
      <w:bookmarkEnd w:id="16"/>
    </w:p>
    <w:p w:rsidR="00D30159" w:rsidRPr="009C076A" w:rsidRDefault="00FB5F40" w:rsidP="009C076A">
      <w:pPr>
        <w:widowControl w:val="0"/>
        <w:ind w:firstLine="709"/>
        <w:jc w:val="both"/>
        <w:rPr>
          <w:rFonts w:cs="Times New Roman"/>
          <w:spacing w:val="-4"/>
          <w:sz w:val="28"/>
          <w:szCs w:val="28"/>
        </w:rPr>
      </w:pPr>
      <w:r w:rsidRPr="009C076A">
        <w:rPr>
          <w:rFonts w:cs="Times New Roman"/>
          <w:spacing w:val="-4"/>
          <w:szCs w:val="28"/>
        </w:rPr>
        <w:t>Nội dung pháp luật về quyền lập hội gồm: nguồn luật và hình thức pháp lý điều chỉnh; điều kiện, thủ tục thành lập và công nhận tư cách pháp lý; quyền gia nhập, rời khỏi hội; quyền tự chủ về điều lệ, tổ chức, nhân sự và hoạt động; tài sản, tài chính, tiếp cận nguồn lực; giới hạn quyền và phạm vi can thiệp của Nhà nước; quản lý nhà nước, công khai, minh bạch, trách nhiệm giải trình; giải quyết tranh chấp, xử lý vi phạm, khiếu nại, khởi kiện và kiểm soát quyền lực hành chính.</w:t>
      </w:r>
    </w:p>
    <w:p w:rsidR="00D30159" w:rsidRPr="00AD0FC8" w:rsidRDefault="00FB5F40" w:rsidP="009C076A">
      <w:pPr>
        <w:widowControl w:val="0"/>
        <w:ind w:firstLine="709"/>
        <w:jc w:val="both"/>
        <w:rPr>
          <w:rFonts w:cs="Times New Roman"/>
          <w:sz w:val="28"/>
          <w:szCs w:val="28"/>
        </w:rPr>
      </w:pPr>
      <w:r w:rsidRPr="00AD0FC8">
        <w:rPr>
          <w:rFonts w:cs="Times New Roman"/>
          <w:szCs w:val="28"/>
        </w:rPr>
        <w:t>Pháp luật chịu ảnh hưởng của các yếu tố chính trị - thể chế; lịch sử và văn hóa pháp lý; kinh tế - xã hội; chất lượng hệ thống pháp luật và kỹ thuật lập pháp; năng lực quản lý, thực thi; chuẩn mực quốc tế và hội nhập. Các yếu tố này vừa định hình phạm vi bảo đảm quyền, vừa quyết định cách thức cân bằng giữa tự do lập hội với an ninh quốc gia, trật tự, an toàn xã hội, đạo đức xã hội, sức khỏe cộng đồng và quyền, lợi ích hợp pháp của chủ thể khác.</w:t>
      </w:r>
    </w:p>
    <w:p w:rsidR="00D30159" w:rsidRPr="009C076A" w:rsidRDefault="00FB5F40" w:rsidP="009C076A">
      <w:pPr>
        <w:widowControl w:val="0"/>
        <w:ind w:firstLine="709"/>
        <w:jc w:val="both"/>
        <w:rPr>
          <w:rFonts w:cs="Times New Roman"/>
          <w:spacing w:val="-4"/>
          <w:sz w:val="28"/>
          <w:szCs w:val="28"/>
        </w:rPr>
      </w:pPr>
      <w:r w:rsidRPr="009C076A">
        <w:rPr>
          <w:rFonts w:cs="Times New Roman"/>
          <w:spacing w:val="-4"/>
          <w:szCs w:val="28"/>
        </w:rPr>
        <w:lastRenderedPageBreak/>
        <w:t>Hoàn thiện pháp luật về quyền lập hội là quá trình sửa đổi, bổ sung, ban hành mới và tổ chức thực hiện đồng bộ các quy định, thiết chế và cơ chế bảo đảm quyền. Quá trình này phải tuân thủ Hiến pháp; tôn trọng, bảo vệ, bảo đảm quyền con người, quyền công dân; bảo đảm sự lãnh đạo của Đảng, phù hợp điều kiện Việt Nam; thống nhất giữa quyền và nghĩa vụ; kết hợp tự chủ với công khai, minh bạch, trách nhiệm giải trình; giới hạn quyền theo khoản 2 Điều 14 Hiến pháp năm 2013.</w:t>
      </w:r>
    </w:p>
    <w:p w:rsidR="00D30159" w:rsidRPr="00AD0FC8" w:rsidRDefault="00FB5F40" w:rsidP="009C076A">
      <w:pPr>
        <w:widowControl w:val="0"/>
        <w:ind w:firstLine="709"/>
        <w:jc w:val="both"/>
        <w:rPr>
          <w:rFonts w:cs="Times New Roman"/>
          <w:sz w:val="28"/>
          <w:szCs w:val="28"/>
        </w:rPr>
      </w:pPr>
      <w:r w:rsidRPr="00AD0FC8">
        <w:rPr>
          <w:rFonts w:cs="Times New Roman"/>
          <w:szCs w:val="28"/>
        </w:rPr>
        <w:t>Tám tiêu chí đánh giá mức độ hoàn thiện gồm: (1) nguồn luật và mức độ luật hóa; (2) tính hợp hiến, hợp pháp; (3) sự minh bạch, đơn giản, dễ tiếp cận của thủ tục; (4) mức độ bảo đảm tự chủ gắn với trách nhiệm giải trình; (5) tính thống nhất, đồng bộ; (6) hiệu quả của cơ chế bảo vệ quyền và kiểm soát quyền lực; (7) khả năng đáp ứng sự phát triển đa dạng của đời sống hiệp hội; (8) tính khả thi, hiệu lực và hiệu quả thi hành.</w:t>
      </w:r>
    </w:p>
    <w:p w:rsidR="00D30159" w:rsidRPr="009C076A" w:rsidRDefault="00FB5F40" w:rsidP="009C076A">
      <w:pPr>
        <w:pStyle w:val="Heading2"/>
        <w:rPr>
          <w:rFonts w:hint="eastAsia"/>
        </w:rPr>
      </w:pPr>
      <w:bookmarkStart w:id="17" w:name="_Toc237284391"/>
      <w:bookmarkStart w:id="18" w:name="_Toc240271446"/>
      <w:r w:rsidRPr="009C076A">
        <w:t>1.3. Chuẩn mực quốc tế, kinh nghiệm quốc gia và bài học cho Việt Nam</w:t>
      </w:r>
      <w:bookmarkEnd w:id="17"/>
      <w:bookmarkEnd w:id="18"/>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Điều 22 ICCPR khẳng định quyền tự do hiệp hội và chỉ cho phép hạn chế khi được pháp luật quy định, cần thiết trong xã hội dân chủ vì các mục đích chính đáng. Các chuẩn mực quốc tế nhấn mạnh thủ tục thành lập nhanh chóng, minh </w:t>
      </w:r>
      <w:r w:rsidRPr="00AD0FC8">
        <w:rPr>
          <w:rFonts w:cs="Times New Roman"/>
          <w:szCs w:val="28"/>
        </w:rPr>
        <w:lastRenderedPageBreak/>
        <w:t>bạch; quyền tự chủ về nội bộ; quyền tìm kiếm, tiếp nhận và sử dụng nguồn lực hợp pháp; cấm giải thể tùy tiện; bảo đảm khiếu nại, khởi kiện và biện pháp khắc phục hiệu quả. Quyền không mang tính tuyệt đối, nhưng mọi giới hạn phải hợp pháp, chính đáng, cần thiết và tương xứng.</w:t>
      </w:r>
    </w:p>
    <w:p w:rsidR="00D30159" w:rsidRPr="00AD0FC8" w:rsidRDefault="00FB5F40" w:rsidP="009C076A">
      <w:pPr>
        <w:widowControl w:val="0"/>
        <w:ind w:firstLine="709"/>
        <w:jc w:val="both"/>
        <w:rPr>
          <w:rFonts w:cs="Times New Roman"/>
          <w:sz w:val="28"/>
          <w:szCs w:val="28"/>
        </w:rPr>
      </w:pPr>
      <w:r w:rsidRPr="00AD0FC8">
        <w:rPr>
          <w:rFonts w:cs="Times New Roman"/>
          <w:szCs w:val="28"/>
        </w:rPr>
        <w:t>Kinh nghiệm so sánh cho thấy các nước thường điều chỉnh bằng luật; phân biệt quyền liên kết với việc có tư cách pháp nhân; áp dụng đăng ký thay cho xin phép; giới hạn căn cứ từ chối theo danh mục rõ; bảo đảm tự quản; phân tầng nghĩa vụ tài chính theo quy mô và rủi ro; coi đình chỉ, giải thể là biện pháp sau cùng và đặt dưới kiểm soát tư pháp. Việt Nam có thể tiếp thu có chọn lọc các giá trị này, đồng thời tính đến đặc điểm hệ thống chính trị, yêu cầu ổn định, năng lực quản lý và trình độ phát triển của các hội.</w:t>
      </w:r>
    </w:p>
    <w:p w:rsidR="00D30159" w:rsidRPr="009C076A" w:rsidRDefault="00FB5F40" w:rsidP="009C076A">
      <w:pPr>
        <w:pStyle w:val="Heading1"/>
      </w:pPr>
      <w:bookmarkStart w:id="19" w:name="_Toc237284392"/>
      <w:bookmarkStart w:id="20" w:name="_Toc240271447"/>
      <w:r w:rsidRPr="009C076A">
        <w:t>CHƯƠNG 2. THỰC TRẠNG PHÁP LUẬT VÀ THỰC TIỄN THỰC HIỆN QUYỀN LẬP HỘI Ở VIỆT NAM</w:t>
      </w:r>
      <w:bookmarkEnd w:id="19"/>
      <w:bookmarkEnd w:id="20"/>
    </w:p>
    <w:p w:rsidR="00D30159" w:rsidRPr="009C076A" w:rsidRDefault="00FB5F40" w:rsidP="009C076A">
      <w:pPr>
        <w:pStyle w:val="Heading2"/>
      </w:pPr>
      <w:bookmarkStart w:id="21" w:name="_Toc237284393"/>
      <w:bookmarkStart w:id="22" w:name="_Toc240271448"/>
      <w:r w:rsidRPr="009C076A">
        <w:t>2.1. Quá trình phát triển và cấu trúc pháp luật hiện hành</w:t>
      </w:r>
      <w:bookmarkEnd w:id="21"/>
      <w:bookmarkEnd w:id="22"/>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Pháp luật về quyền lập hội phát triển qua ba giai đoạn. Trước Đổi mới, khuôn khổ pháp luật hình thành trong điều kiện quản lý tập trung, đặt trọng tâm vào kiểm soát tổ chức </w:t>
      </w:r>
      <w:r w:rsidRPr="00AD0FC8">
        <w:rPr>
          <w:rFonts w:cs="Times New Roman"/>
          <w:szCs w:val="28"/>
        </w:rPr>
        <w:lastRenderedPageBreak/>
        <w:t xml:space="preserve">và hoạt động. Từ Đổi mới đến trước Hiến pháp năm 2013, </w:t>
      </w:r>
      <w:r w:rsidRPr="009C076A">
        <w:rPr>
          <w:rFonts w:cs="Times New Roman"/>
          <w:spacing w:val="-4"/>
          <w:szCs w:val="28"/>
        </w:rPr>
        <w:t>yêu cầu phát triển kinh tế - xã hội và hội nhập thúc đẩy việc mở rộng các loại hình hội, nhưng cơ chế điều chỉnh vẫn phân tán. Từ Hiến pháp năm 2013 đến nay, quyền lập hội được đặt trong khuôn khổ hiến định mới về quyền con người, giới hạn quyền và trách nhiệm của Nhà nước; Nghị định số 126/2024/NĐ-CP thay thế Nghị định số 45/2010/NĐ-CP, chuẩn hóa hơn điều kiện, thủ tục, quyền, nghĩa vụ và quản lý hội.</w:t>
      </w:r>
    </w:p>
    <w:p w:rsidR="00D30159" w:rsidRPr="00AD0FC8" w:rsidRDefault="00FB5F40" w:rsidP="009C076A">
      <w:pPr>
        <w:widowControl w:val="0"/>
        <w:ind w:firstLine="709"/>
        <w:jc w:val="both"/>
        <w:rPr>
          <w:rFonts w:cs="Times New Roman"/>
          <w:sz w:val="28"/>
          <w:szCs w:val="28"/>
        </w:rPr>
      </w:pPr>
      <w:r w:rsidRPr="00AD0FC8">
        <w:rPr>
          <w:rFonts w:cs="Times New Roman"/>
          <w:szCs w:val="28"/>
        </w:rPr>
        <w:t>Hệ thống nguồn luật hiện gồm Hiến pháp, Bộ luật Dân sự, các luật về hành chính, tố tụng, tài chính, thuế, kế toán, phòng, chống tham nhũng, phòng, chống rửa tiền, viện trợ và nhiều văn bản dưới luật. Sự đa tầng tạo cơ sở điều chỉnh rộng nhưng cũng làm phát sinh phân tán, giao thoa và khoảng trống. Vấn đề cốt lõi là nhiều nội dung liên quan trực tiếp đến thực hiện và hạn chế quyền hiến định vẫn chưa được quy định ở cấp luật.</w:t>
      </w:r>
    </w:p>
    <w:p w:rsidR="00D30159" w:rsidRPr="009C076A" w:rsidRDefault="00FB5F40" w:rsidP="009C076A">
      <w:pPr>
        <w:pStyle w:val="Heading2"/>
      </w:pPr>
      <w:bookmarkStart w:id="23" w:name="_Toc237284394"/>
      <w:bookmarkStart w:id="24" w:name="_Toc240271449"/>
      <w:r w:rsidRPr="009C076A">
        <w:t>2.2. Thực trạng pháp luật theo các cấu phần của quyền</w:t>
      </w:r>
      <w:bookmarkEnd w:id="23"/>
      <w:bookmarkEnd w:id="24"/>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Về quyền thành lập và được công nhận tư cách pháp lý, Nghị định số 126/2024/NĐ-CP đã quy định tương đối cụ thể điều kiện, hồ sơ, trình tự và thẩm quyền. Tuy nhiên, cơ chế hai bước gồm công nhận ban vận động và cho phép </w:t>
      </w:r>
      <w:r w:rsidRPr="00AD0FC8">
        <w:rPr>
          <w:rFonts w:cs="Times New Roman"/>
          <w:szCs w:val="28"/>
        </w:rPr>
        <w:lastRenderedPageBreak/>
        <w:t>thành lập vẫn mang tính xin phép; một số điều kiện về số lượng, phạm vi hoạt động, trụ sở, tên gọi và tài sản có thể trở thành rào cản; thời hạn chuẩn bị và tổ chức đại hội kéo dài. Cần phân biệt việc công dân liên kết với việc tổ chức được công nhận tư cách pháp lý, đồng thời hạn chế quyền tùy nghi trong tiếp nhận và quyết định hồ sơ.</w:t>
      </w:r>
    </w:p>
    <w:p w:rsidR="00D30159" w:rsidRPr="00AD0FC8" w:rsidRDefault="00FB5F40" w:rsidP="009C076A">
      <w:pPr>
        <w:widowControl w:val="0"/>
        <w:ind w:firstLine="709"/>
        <w:jc w:val="both"/>
        <w:rPr>
          <w:rFonts w:cs="Times New Roman"/>
          <w:sz w:val="28"/>
          <w:szCs w:val="28"/>
        </w:rPr>
      </w:pPr>
      <w:r w:rsidRPr="00AD0FC8">
        <w:rPr>
          <w:rFonts w:cs="Times New Roman"/>
          <w:szCs w:val="28"/>
        </w:rPr>
        <w:t>Về quyền gia nhập, rời khỏi hội, tự chủ tổ chức và hoạt động, pháp luật đã ghi nhận nguyên tắc tự nguyện, tự quản, dân chủ, bình đẳng, công khai, minh bạch và không vì mục tiêu phân chia lợi nhuận. Hội có quyền tổ chức hoạt động theo điều lệ, đại diện hội viên, tham gia góp ý chính sách và hợp tác. Dù vậy, cơ chế phê duyệt điều lệ, kiểm soát đại hội, nhân sự và nghĩa vụ báo cáo còn tạo khả năng can thiệp sâu vào nội bộ. Quyền của hội viên, cơ chế giám sát ban lãnh đạo, xử lý xung đột lợi ích và giải quyết tranh chấp nội bộ chưa được thiết kế đầy đủ.</w:t>
      </w:r>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Về tài sản, tiếp cận nguồn lực và tự chủ tài chính, pháp luật cho phép hội có hội phí, đóng góp, tài trợ, viện trợ, thu từ hoạt động dịch vụ, nhiệm vụ được giao và các nguồn hợp pháp khác. Quy định về kế toán, công khai, quản lý tài sản góp phần bảo đảm minh bạch. Tuy nhiên, quyền tiếp cận </w:t>
      </w:r>
      <w:r w:rsidRPr="009C076A">
        <w:rPr>
          <w:rFonts w:cs="Times New Roman"/>
          <w:spacing w:val="-4"/>
          <w:szCs w:val="28"/>
        </w:rPr>
        <w:t xml:space="preserve">và sử dụng nguồn lực chưa được bảo đảm một cách hệ thống; </w:t>
      </w:r>
      <w:r w:rsidRPr="009C076A">
        <w:rPr>
          <w:rFonts w:cs="Times New Roman"/>
          <w:spacing w:val="-4"/>
          <w:szCs w:val="28"/>
        </w:rPr>
        <w:lastRenderedPageBreak/>
        <w:t>nghĩa vụ kế toán, báo cáo, công khai chưa phân tầng hợp lý theo quy mô, tính chất, nguồn tài chính và mức độ rủi ro. Cơ chế kiểm soát xung đột lợi ích, trách nhiệm người đứng đầu, bảo vệ nhà tài trợ và xử lý tài sản khi giải thể còn thiếu rõ ràng.</w:t>
      </w:r>
    </w:p>
    <w:p w:rsidR="00D30159" w:rsidRPr="000C7357" w:rsidRDefault="00FB5F40" w:rsidP="009C076A">
      <w:pPr>
        <w:widowControl w:val="0"/>
        <w:ind w:firstLine="709"/>
        <w:jc w:val="both"/>
        <w:rPr>
          <w:rFonts w:cs="Times New Roman"/>
          <w:spacing w:val="-2"/>
          <w:sz w:val="28"/>
          <w:szCs w:val="28"/>
        </w:rPr>
      </w:pPr>
      <w:r w:rsidRPr="000C7357">
        <w:rPr>
          <w:rFonts w:cs="Times New Roman"/>
          <w:spacing w:val="-2"/>
          <w:szCs w:val="28"/>
        </w:rPr>
        <w:t>Về giới hạn can thiệp của Nhà nước và kiểm soát quyền lực hành chính, pháp luật đã phân định thẩm quyền giữa trung ương và địa phương, quy định thanh tra, kiểm tra, tạm đình chỉ, giải thể và xử lý vi phạm. Song mô hình quản lý còn nặng về tiền kiểm và báo cáo định kỳ; thẩm quyền phân tán giữa cơ quan nội vụ, cơ quan quản lý ngành, lĩnh vực và chính quyền địa phương; cơ sở dữ liệu, phối hợp, quản lý rủi ro chưa đồng bộ. Việc tổ chức chính quyền địa phương hai cấp đòi hỏi rà soát toàn bộ thẩm quyền liên quan đến hội hoạt động trong phạm vi huyện trước đây, bảo đảm không có khoảng trống hoặc chồng chéo.</w:t>
      </w:r>
    </w:p>
    <w:p w:rsidR="00D30159" w:rsidRPr="009C076A" w:rsidRDefault="00FB5F40" w:rsidP="009C076A">
      <w:pPr>
        <w:widowControl w:val="0"/>
        <w:ind w:firstLine="709"/>
        <w:jc w:val="both"/>
        <w:rPr>
          <w:rFonts w:cs="Times New Roman"/>
          <w:spacing w:val="-4"/>
          <w:sz w:val="28"/>
          <w:szCs w:val="28"/>
        </w:rPr>
      </w:pPr>
      <w:r w:rsidRPr="00AD0FC8">
        <w:rPr>
          <w:rFonts w:cs="Times New Roman"/>
          <w:szCs w:val="28"/>
        </w:rPr>
        <w:t xml:space="preserve">Về khiếu nại, </w:t>
      </w:r>
      <w:r w:rsidRPr="009C076A">
        <w:rPr>
          <w:rFonts w:cs="Times New Roman"/>
          <w:spacing w:val="-4"/>
          <w:szCs w:val="28"/>
        </w:rPr>
        <w:t xml:space="preserve">khởi kiện, giải quyết tranh chấp và xử lý vi phạm, các cơ chế chung của pháp luật hành chính, dân sự và tố tụng có thể được vận dụng. Tuy nhiên, pháp luật về hội chưa làm rõ đầy đủ quyền khởi kiện đối với quyết định từ chối thành lập, phê duyệt điều lệ, tạm đình chỉ, giải thể hoặc can thiệp vào hoạt động hợp pháp; chưa xác định rõ quan hệ giữa cơ chế nội bộ với quyền yêu cầu Tòa án; thiếu cơ chế khắc phục kịp thời. </w:t>
      </w:r>
      <w:r w:rsidRPr="009C076A">
        <w:rPr>
          <w:rFonts w:cs="Times New Roman"/>
          <w:spacing w:val="-4"/>
          <w:szCs w:val="28"/>
        </w:rPr>
        <w:lastRenderedPageBreak/>
        <w:t>Chế tài chưa luôn phân biệt trách nhiệm cá nhân với trách nhiệm của hội, chưa thể hiện đầy đủ nguyên tắc cần thiết, tương xứng và biện pháp ít hạn chế quyền nhất.</w:t>
      </w:r>
    </w:p>
    <w:p w:rsidR="00D30159" w:rsidRPr="009C076A" w:rsidRDefault="00FB5F40" w:rsidP="009C076A">
      <w:pPr>
        <w:pStyle w:val="Heading2"/>
      </w:pPr>
      <w:bookmarkStart w:id="25" w:name="_Toc237284395"/>
      <w:bookmarkStart w:id="26" w:name="_Toc240271450"/>
      <w:r w:rsidRPr="009C076A">
        <w:t>2.3. Thực tiễn thi hành và thực hiện quyền</w:t>
      </w:r>
      <w:bookmarkEnd w:id="25"/>
      <w:bookmarkEnd w:id="26"/>
    </w:p>
    <w:p w:rsidR="00D30159" w:rsidRPr="00AD0FC8" w:rsidRDefault="00FB5F40" w:rsidP="009C076A">
      <w:pPr>
        <w:widowControl w:val="0"/>
        <w:ind w:firstLine="709"/>
        <w:jc w:val="both"/>
        <w:rPr>
          <w:rFonts w:cs="Times New Roman"/>
          <w:sz w:val="28"/>
          <w:szCs w:val="28"/>
        </w:rPr>
      </w:pPr>
      <w:r w:rsidRPr="00AD0FC8">
        <w:rPr>
          <w:rFonts w:cs="Times New Roman"/>
          <w:szCs w:val="28"/>
        </w:rPr>
        <w:t>Thực tiễn cho thấy hệ thống hội ngày càng đa dạng, góp phần tập hợp hội viên, hỗ trợ nghề nghiệp, phổ biến pháp luật, cung cấp dịch vụ, thực hiện hoạt động xã hội và tham gia xây dựng chính sách. Cơ quan quản lý đã từng bước chuẩn hóa thủ tục, phân cấp và ứng dụng công nghệ. Kết quả khảo sát, phỏng vấn và báo cáo thực tiễn đồng thời phản ánh khó khăn về thủ tục thành lập, cách hiểu chưa thống nhất, thời gian xử lý, tiếp cận nguồn lực, quản trị nội bộ, công khai tài chính và cơ chế bảo vệ quyền. Các kết quả này được sử dụng như bằng chứng bổ trợ để nhận diện vấn đề, trong giới hạn của phương pháp chọn mẫu.</w:t>
      </w:r>
    </w:p>
    <w:p w:rsidR="00D30159" w:rsidRPr="009C076A" w:rsidRDefault="00FB5F40" w:rsidP="009C076A">
      <w:pPr>
        <w:widowControl w:val="0"/>
        <w:ind w:firstLine="709"/>
        <w:jc w:val="both"/>
        <w:rPr>
          <w:rFonts w:cs="Times New Roman"/>
          <w:spacing w:val="-4"/>
          <w:sz w:val="28"/>
          <w:szCs w:val="28"/>
        </w:rPr>
      </w:pPr>
      <w:r w:rsidRPr="00AD0FC8">
        <w:rPr>
          <w:rFonts w:cs="Times New Roman"/>
          <w:szCs w:val="28"/>
        </w:rPr>
        <w:t xml:space="preserve">Đáng chú ý, quản lý </w:t>
      </w:r>
      <w:r w:rsidRPr="009C076A">
        <w:rPr>
          <w:rFonts w:cs="Times New Roman"/>
          <w:spacing w:val="-4"/>
          <w:szCs w:val="28"/>
        </w:rPr>
        <w:t>hội đang chịu sức ép từ quy mô, tính đa dạng, hoạt động liên ngành, hợp tác quốc tế, tài trợ, viện trợ, chuyển đổi số và các hình thức liên kết mới. Trong khi đó, dữ liệu chưa đầy đủ và liên thông; năng lực hậu kiểm chưa đồng đều; nhiều hội nhỏ còn hạn chế về pháp lý, quản trị và tài chính. Điều này cho thấy cải cách thủ tục phải đi cùng nâng cao năng lực của cơ quan quản lý và của chính các hội.</w:t>
      </w:r>
    </w:p>
    <w:p w:rsidR="00D30159" w:rsidRPr="009C076A" w:rsidRDefault="00FB5F40" w:rsidP="009C076A">
      <w:pPr>
        <w:pStyle w:val="Heading2"/>
      </w:pPr>
      <w:bookmarkStart w:id="27" w:name="_Toc237284396"/>
      <w:bookmarkStart w:id="28" w:name="_Toc240271451"/>
      <w:r w:rsidRPr="009C076A">
        <w:lastRenderedPageBreak/>
        <w:t>2.4. Thành tựu, hạn chế và nguyên nhân</w:t>
      </w:r>
      <w:bookmarkEnd w:id="27"/>
      <w:bookmarkEnd w:id="28"/>
    </w:p>
    <w:p w:rsidR="00D30159" w:rsidRPr="00AD0FC8" w:rsidRDefault="00FB5F40" w:rsidP="009C076A">
      <w:pPr>
        <w:widowControl w:val="0"/>
        <w:ind w:firstLine="709"/>
        <w:jc w:val="both"/>
        <w:rPr>
          <w:rFonts w:cs="Times New Roman"/>
          <w:sz w:val="28"/>
          <w:szCs w:val="28"/>
        </w:rPr>
      </w:pPr>
      <w:r w:rsidRPr="00AD0FC8">
        <w:rPr>
          <w:rFonts w:cs="Times New Roman"/>
          <w:szCs w:val="28"/>
        </w:rPr>
        <w:t>Thành tựu cơ bản là quyền lập hội có nền tảng hiến định; khuôn khổ pháp luật về thành lập, tổ chức, hoạt động và quản lý hội ngày càng cụ thể; các nguyên tắc tự nguyện, tự quản, dân chủ, bình đẳng, công khai, minh bạch được ghi nhận. Nghị định số 126/2024/NĐ-CP đã chuẩn hóa nhiều nội dung so với trước. Thực tiễn hội phát triển về số lượng, loại hình và vai trò xã hội, góp phần huy động nguồn lực, đại diện lợi ích, cung cấp dịch vụ và phản biện chính sách.</w:t>
      </w:r>
    </w:p>
    <w:p w:rsidR="00D30159" w:rsidRPr="00AD0FC8" w:rsidRDefault="00FB5F40" w:rsidP="009C076A">
      <w:pPr>
        <w:widowControl w:val="0"/>
        <w:ind w:firstLine="709"/>
        <w:jc w:val="both"/>
        <w:rPr>
          <w:rFonts w:cs="Times New Roman"/>
          <w:sz w:val="28"/>
          <w:szCs w:val="28"/>
        </w:rPr>
      </w:pPr>
      <w:r w:rsidRPr="00AD0FC8">
        <w:rPr>
          <w:rFonts w:cs="Times New Roman"/>
          <w:szCs w:val="28"/>
        </w:rPr>
        <w:t>Hạn chế mang tính cấu trúc gồm: chưa có Luật về hội; nguồn luật phân tán; cơ chế thành lập mang dấu ấn xin phép và tiền kiểm; một số điều kiện, căn cứ từ chối chưa đủ rõ; quyền tự chủ chịu ảnh hưởng của phê duyệt và can thiệp hành chính; nghĩa vụ tài chính, báo cáo chưa phân tầng; mô hình quản lý còn phân tán, dữ liệu và hậu kiểm chưa đồng đều; cơ chế bảo vệ quyền và kiểm soát tư pháp chưa rõ, kịp thời; pháp luật chưa thích ứng đầy đủ với liên kết không đăng ký và liên kết trên không gian mạng.</w:t>
      </w:r>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Nguyên nhân khách quan xuất phát từ bối cảnh lịch sử, tính nhạy cảm chính trị - pháp lý của quyền lập hội, yêu cầu bảo vệ ổn định chính trị - xã hội, sự phát triển nhanh và đa dạng của hệ thống hội, tác động của chuyển đổi số, hội </w:t>
      </w:r>
      <w:r w:rsidRPr="00AD0FC8">
        <w:rPr>
          <w:rFonts w:cs="Times New Roman"/>
          <w:szCs w:val="28"/>
        </w:rPr>
        <w:lastRenderedPageBreak/>
        <w:t>nhập quốc tế và yêu cầu quản lý ngày càng phức tạp. Nguyên nhân chủ quan là chậm luật hóa; tư duy quản lý còn thiên về hành chính; kỹ thuật lập pháp và phối hợp chưa đồng bộ; cơ sở dữ liệu, năng lực hậu kiểm, nguồn lực quản lý còn hạn chế; nhận thức và năng lực quản trị, minh bạch của một số hội chưa đáp ứng yêu cầu; cơ chế kiểm soát quyết định hành chính chưa đủ mạnh.</w:t>
      </w:r>
    </w:p>
    <w:p w:rsidR="00D30159" w:rsidRPr="00AD0FC8" w:rsidRDefault="00FB5F40" w:rsidP="009C076A">
      <w:pPr>
        <w:widowControl w:val="0"/>
        <w:ind w:firstLine="709"/>
        <w:jc w:val="both"/>
        <w:rPr>
          <w:rFonts w:cs="Times New Roman"/>
          <w:sz w:val="28"/>
          <w:szCs w:val="28"/>
        </w:rPr>
      </w:pPr>
      <w:r w:rsidRPr="00AD0FC8">
        <w:rPr>
          <w:rFonts w:cs="Times New Roman"/>
          <w:szCs w:val="28"/>
        </w:rPr>
        <w:t>Từ đó, luận án khẳng định khuôn khổ hiện hành đã tạo nền tảng nhưng chưa đạt mức hoàn thiện cần thiết để bảo đảm thực chất quyền lập hội. Khắc phục hạn chế không thể chỉ sửa một vài thủ tục, mà cần đồng thời đổi mới hình thức pháp luật, nội dung điều chỉnh, mô hình quản lý, năng lực thực thi và cơ chế bảo vệ quyền.</w:t>
      </w:r>
    </w:p>
    <w:p w:rsidR="00D30159" w:rsidRPr="009C076A" w:rsidRDefault="00FB5F40" w:rsidP="009C076A">
      <w:pPr>
        <w:pStyle w:val="Heading1"/>
      </w:pPr>
      <w:bookmarkStart w:id="29" w:name="_Toc237284397"/>
      <w:bookmarkStart w:id="30" w:name="_Toc240271452"/>
      <w:r w:rsidRPr="009C076A">
        <w:t>CHƯƠNG 3. QUAN ĐIỂM, ĐỊNH HƯỚNG VÀ GIẢI PHÁP HOÀN THIỆN PHÁP LUẬT, BẢO ĐẢM THI HÀNH PHÁP LUẬT VỀ QUYỀN LẬP HỘI Ở VIỆT NAM</w:t>
      </w:r>
      <w:bookmarkEnd w:id="29"/>
      <w:bookmarkEnd w:id="30"/>
    </w:p>
    <w:p w:rsidR="00D30159" w:rsidRPr="009C076A" w:rsidRDefault="00FB5F40" w:rsidP="009C076A">
      <w:pPr>
        <w:pStyle w:val="Heading2"/>
      </w:pPr>
      <w:bookmarkStart w:id="31" w:name="_Toc237284398"/>
      <w:bookmarkStart w:id="32" w:name="_Toc240271453"/>
      <w:r w:rsidRPr="009C076A">
        <w:t>3.1. Bối cảnh, quan điểm và định hướng</w:t>
      </w:r>
      <w:bookmarkEnd w:id="31"/>
      <w:bookmarkEnd w:id="32"/>
    </w:p>
    <w:p w:rsidR="00D30159" w:rsidRPr="000C7357" w:rsidRDefault="00FB5F40" w:rsidP="009C076A">
      <w:pPr>
        <w:widowControl w:val="0"/>
        <w:ind w:firstLine="709"/>
        <w:jc w:val="both"/>
        <w:rPr>
          <w:rFonts w:cs="Times New Roman"/>
          <w:spacing w:val="-4"/>
          <w:sz w:val="28"/>
          <w:szCs w:val="28"/>
        </w:rPr>
      </w:pPr>
      <w:r w:rsidRPr="000C7357">
        <w:rPr>
          <w:rFonts w:cs="Times New Roman"/>
          <w:spacing w:val="-4"/>
          <w:szCs w:val="28"/>
        </w:rPr>
        <w:t xml:space="preserve">Bối cảnh mới được tạo bởi yêu cầu xây dựng Nhà nước pháp quyền, hoàn thiện thể chế phát triển, bảo đảm quyền con người, sắp xếp bộ máy và chính quyền địa phương hai cấp; sự phát triển của kinh tế thị trường, đời sống hiệp hội, chuyển đổi </w:t>
      </w:r>
      <w:r w:rsidRPr="000C7357">
        <w:rPr>
          <w:rFonts w:cs="Times New Roman"/>
          <w:spacing w:val="-4"/>
          <w:szCs w:val="28"/>
        </w:rPr>
        <w:lastRenderedPageBreak/>
        <w:t>số; cùng nghĩa vụ thực hiện ICCPR và hội nhập quốc tế. Chỉ thị số 11-CT/TW ngày 20/7/2026 tiếp tục đặt ra yêu cầu tăng cường sự lãnh đạo của Đảng, đồng thời phát huy vai trò của các hội quần chúng trong giai đoạn phát triển mới.</w:t>
      </w:r>
    </w:p>
    <w:p w:rsidR="00D30159" w:rsidRPr="00AD0FC8" w:rsidRDefault="00FB5F40" w:rsidP="009C076A">
      <w:pPr>
        <w:widowControl w:val="0"/>
        <w:ind w:firstLine="709"/>
        <w:jc w:val="both"/>
        <w:rPr>
          <w:rFonts w:cs="Times New Roman"/>
          <w:sz w:val="28"/>
          <w:szCs w:val="28"/>
        </w:rPr>
      </w:pPr>
      <w:r w:rsidRPr="00AD0FC8">
        <w:rPr>
          <w:rFonts w:cs="Times New Roman"/>
          <w:szCs w:val="28"/>
        </w:rPr>
        <w:t>Việc hoàn thiện phải lấy quyền lập hội của công dân làm trung tâm, trên nền tảng thượng tôn Hiến pháp và bảo đảm sự lãnh đạo của Đảng; cân bằng quyền với lợi ích công cộng; kết hợp tự chủ với minh bạch, trách nhiệm giải trình; bảo đảm thống nhất, khả thi và tiếp thu có chọn lọc chuẩn mực quốc tế. Định hướng chủ yếu là luật hóa, chuyển từ xin phép sang đăng ký, từ tiền kiểm sang hậu kiểm dựa trên dữ liệu và rủi ro; tăng kiểm soát quyền lực hành chính và cơ chế tư pháp bảo vệ quyền.</w:t>
      </w:r>
    </w:p>
    <w:p w:rsidR="00D30159" w:rsidRPr="009C076A" w:rsidRDefault="00FB5F40" w:rsidP="009C076A">
      <w:pPr>
        <w:pStyle w:val="Heading2"/>
      </w:pPr>
      <w:bookmarkStart w:id="33" w:name="_Toc237284399"/>
      <w:bookmarkStart w:id="34" w:name="_Toc240271454"/>
      <w:r w:rsidRPr="009C076A">
        <w:t>3.2. Giải pháp hoàn thiện pháp luật</w:t>
      </w:r>
      <w:bookmarkEnd w:id="33"/>
      <w:bookmarkEnd w:id="34"/>
    </w:p>
    <w:p w:rsidR="00D30159" w:rsidRPr="009C076A" w:rsidRDefault="00FB5F40" w:rsidP="009C076A">
      <w:pPr>
        <w:widowControl w:val="0"/>
        <w:ind w:firstLine="709"/>
        <w:jc w:val="both"/>
        <w:rPr>
          <w:rFonts w:cs="Times New Roman"/>
          <w:spacing w:val="-4"/>
          <w:sz w:val="28"/>
          <w:szCs w:val="28"/>
        </w:rPr>
      </w:pPr>
      <w:r w:rsidRPr="00AD0FC8">
        <w:rPr>
          <w:rFonts w:cs="Times New Roman"/>
          <w:szCs w:val="28"/>
        </w:rPr>
        <w:t>Giải pháp t</w:t>
      </w:r>
      <w:r w:rsidRPr="000C7357">
        <w:rPr>
          <w:rFonts w:cs="Times New Roman"/>
          <w:spacing w:val="-2"/>
          <w:szCs w:val="28"/>
        </w:rPr>
        <w:t xml:space="preserve">rung </w:t>
      </w:r>
      <w:r w:rsidRPr="009C076A">
        <w:rPr>
          <w:rFonts w:cs="Times New Roman"/>
          <w:spacing w:val="-4"/>
          <w:szCs w:val="28"/>
        </w:rPr>
        <w:t xml:space="preserve">tâm là xây dựng và ban hành Luật về hội với tư cách đạo luật cụ thể hóa Điều 25 và khoản 2 Điều 14 Hiến pháp năm 2013, chứ không chỉ là đạo luật quản lý tổ chức hội. Luật cần xác định rõ phạm vi điều chỉnh, đối tượng áp dụng, khái niệm hội, các nguyên tắc tự nguyện, tự chủ, dân chủ, bình đẳng, công khai, minh bạch, không vì mục tiêu phân chia lợi nhuận; đồng thời phân biệt hội với tổ chức chính trị - xã hội, tôn giáo, đại diện người lao động, quỹ, tổ chức phi chính phủ </w:t>
      </w:r>
      <w:r w:rsidRPr="009C076A">
        <w:rPr>
          <w:rFonts w:cs="Times New Roman"/>
          <w:spacing w:val="-4"/>
          <w:szCs w:val="28"/>
        </w:rPr>
        <w:lastRenderedPageBreak/>
        <w:t>nước ngoài và tổ chức do luật chuyên ngành điều chỉnh.</w:t>
      </w:r>
    </w:p>
    <w:p w:rsidR="00D30159" w:rsidRPr="00AD0FC8" w:rsidRDefault="00FB5F40" w:rsidP="009C076A">
      <w:pPr>
        <w:widowControl w:val="0"/>
        <w:ind w:firstLine="709"/>
        <w:jc w:val="both"/>
        <w:rPr>
          <w:rFonts w:cs="Times New Roman"/>
          <w:sz w:val="28"/>
          <w:szCs w:val="28"/>
        </w:rPr>
      </w:pPr>
      <w:r w:rsidRPr="00AD0FC8">
        <w:rPr>
          <w:rFonts w:cs="Times New Roman"/>
          <w:szCs w:val="28"/>
        </w:rPr>
        <w:t>Về thành lập hội, cần thay cơ chế xin phép bằng đăng ký. Nhóm sáng lập viên nộp một bộ hồ sơ theo yêu cầu rõ ràng; cơ quan đăng ký có trách nhiệm ghi nhận nếu đáp ứng điều kiện, chỉ từ chối trên danh mục căn cứ đóng do luật quy định, phải nêu lý do và chịu trách nhiệm khi chậm xử lý. Ban vận động, nếu duy trì, chỉ nên có vai trò hỗ trợ chuẩn bị, không trở thành tầng cấp phép thứ nhất. Quy trình cần trực tuyến, liên thông với cơ sở dữ liệu và bảo đảm quyền khiếu nại, khởi kiện.</w:t>
      </w:r>
    </w:p>
    <w:p w:rsidR="00D30159" w:rsidRPr="00AD0FC8" w:rsidRDefault="00FB5F40" w:rsidP="009C076A">
      <w:pPr>
        <w:widowControl w:val="0"/>
        <w:ind w:firstLine="709"/>
        <w:jc w:val="both"/>
        <w:rPr>
          <w:rFonts w:cs="Times New Roman"/>
          <w:sz w:val="28"/>
          <w:szCs w:val="28"/>
        </w:rPr>
      </w:pPr>
      <w:r w:rsidRPr="00AD0FC8">
        <w:rPr>
          <w:rFonts w:cs="Times New Roman"/>
          <w:szCs w:val="28"/>
        </w:rPr>
        <w:t>Về tổ chức và hoạt động, Luật cần bảo đảm hội tự quyết điều lệ, cơ cấu, nhân sự, đại hội, hội viên và chương trình; cơ quan nhà nước chỉ can thiệp khi có căn cứ luật định, vì mục đích chính đáng và theo biện pháp tương xứng. Cần quy định rõ quyền hội viên, nguyên tắc quản trị dân chủ, tiếp cận thông tin, giám sát ban lãnh đạo, kiểm soát xung đột lợi ích và giải quyết tranh chấp. Cơ chế phê duyệt điều lệ nên được chuyển dần sang đăng ký và hậu kiểm tính hợp pháp.</w:t>
      </w:r>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Về tài sản, tài chính, cần bảo đảm quyền tiếp cận và sử dụng các nguồn hợp pháp; phân tầng nghĩa vụ kế toán, báo cáo, công khai theo quy mô, tính chất hoạt động, nguồn tài chính và mức độ rủi ro; làm rõ trách nhiệm người đứng </w:t>
      </w:r>
      <w:r w:rsidRPr="00AD0FC8">
        <w:rPr>
          <w:rFonts w:cs="Times New Roman"/>
          <w:szCs w:val="28"/>
        </w:rPr>
        <w:lastRenderedPageBreak/>
        <w:t>đầu, kiểm toán, bảo vệ nhà tài trợ và xử lý tài sản khi giải thể. Tài sản công xử lý theo pháp luật về tài sản công; tài sản tài trợ có điều kiện theo điều kiện hợp pháp; tài sản còn lại chuyển cho tổ chức phi lợi nhuận có mục đích tương tự, không phân chia cho hội viên hoặc người quản lý.</w:t>
      </w:r>
    </w:p>
    <w:p w:rsidR="00D30159" w:rsidRPr="00AD0FC8" w:rsidRDefault="00FB5F40" w:rsidP="009C076A">
      <w:pPr>
        <w:widowControl w:val="0"/>
        <w:ind w:firstLine="709"/>
        <w:jc w:val="both"/>
        <w:rPr>
          <w:rFonts w:cs="Times New Roman"/>
          <w:sz w:val="28"/>
          <w:szCs w:val="28"/>
        </w:rPr>
      </w:pPr>
      <w:r w:rsidRPr="00AD0FC8">
        <w:rPr>
          <w:rFonts w:cs="Times New Roman"/>
          <w:szCs w:val="28"/>
        </w:rPr>
        <w:t>Về quản lý nhà nước, cần phân định rõ thẩm quyền theo mô hình chính quyền địa phương hai cấp; tích hợp dữ liệu; chuẩn hóa quy trình; tăng hướng dẫn, đối thoại và tham vấn hội; chuyển sang hậu kiểm, quản lý rủi ro. Thanh tra, kiểm tra phải có căn cứ, phạm vi, thời hạn rõ, tránh trùng lặp. Pháp luật cần phân biệt trách nhiệm của cá nhân với trách nhiệm của hội, áp dụng biện pháp ít hạn chế quyền nhất và bảo đảm tương xứng.</w:t>
      </w:r>
    </w:p>
    <w:p w:rsidR="00D30159" w:rsidRPr="00AD0FC8" w:rsidRDefault="00FB5F40" w:rsidP="009C076A">
      <w:pPr>
        <w:widowControl w:val="0"/>
        <w:ind w:firstLine="709"/>
        <w:jc w:val="both"/>
        <w:rPr>
          <w:rFonts w:cs="Times New Roman"/>
          <w:sz w:val="28"/>
          <w:szCs w:val="28"/>
        </w:rPr>
      </w:pPr>
      <w:r w:rsidRPr="00AD0FC8">
        <w:rPr>
          <w:rFonts w:cs="Times New Roman"/>
          <w:szCs w:val="28"/>
        </w:rPr>
        <w:t>Về bảo vệ quyền và xử lý vi phạm, cần quy định rõ quyền khiếu nại, khởi kiện đối với quyết định, hành vi liên quan đến đăng ký, điều lệ, tạm đình chỉ, giải thể, xử phạt và can thiệp vào hoạt động hợp pháp. Giải thể bắt buộc, về nguyên tắc, nên do Tòa án quyết định theo yêu cầu của cơ quan quản lý; cơ quan hành chính chỉ tạm đình chỉ trong tình huống khẩn cấp, có thời hạn và chịu xem xét tư pháp kịp thời. Cơ chế nội bộ không nên là điều kiện bắt buộc để khởi kiện nếu không độc lập hoặc không giải quyết đúng hạn.</w:t>
      </w:r>
    </w:p>
    <w:p w:rsidR="00D30159" w:rsidRPr="00AD0FC8" w:rsidRDefault="00FB5F40" w:rsidP="009C076A">
      <w:pPr>
        <w:widowControl w:val="0"/>
        <w:ind w:firstLine="709"/>
        <w:jc w:val="both"/>
        <w:rPr>
          <w:rFonts w:cs="Times New Roman"/>
          <w:sz w:val="28"/>
          <w:szCs w:val="28"/>
        </w:rPr>
      </w:pPr>
      <w:r w:rsidRPr="00AD0FC8">
        <w:rPr>
          <w:rFonts w:cs="Times New Roman"/>
          <w:szCs w:val="28"/>
        </w:rPr>
        <w:lastRenderedPageBreak/>
        <w:t>Pháp luật cần thừa nhận rằng không phải mọi liên kết xã hội đều phải đăng ký hoặc có tư cách pháp nhân; phân biệt hội đăng ký với nhóm, mạng lưới, câu lạc bộ và liên kết trên không gian mạng. Các hình thức liên kết hợp pháp được tồn tại, nhưng hành vi vi phạm vẫn chịu điều chỉnh của pháp luật chung. Luật cũng cần có điều khoản chuyển tiếp ổn định, không làm gián đoạn hoạt động của hội đã thành lập; đồng thời rà soát đồng bộ pháp luật dân sự, tố tụng hành chính, tài chính, thuế, kế toán, phòng, chống tham nhũng, phòng, chống rửa tiền, viện trợ, dữ liệu cá nhân và tổ chức chính quyền địa phương.</w:t>
      </w:r>
    </w:p>
    <w:p w:rsidR="00D30159" w:rsidRPr="009C076A" w:rsidRDefault="00FB5F40" w:rsidP="009C076A">
      <w:pPr>
        <w:pStyle w:val="Heading2"/>
      </w:pPr>
      <w:bookmarkStart w:id="35" w:name="_Toc237284400"/>
      <w:bookmarkStart w:id="36" w:name="_Toc240271455"/>
      <w:r w:rsidRPr="009C076A">
        <w:t>3.3. Giải pháp bảo đảm thi hành</w:t>
      </w:r>
      <w:bookmarkEnd w:id="35"/>
      <w:bookmarkEnd w:id="36"/>
    </w:p>
    <w:p w:rsidR="00D30159" w:rsidRPr="000C7357" w:rsidRDefault="00FB5F40" w:rsidP="009C076A">
      <w:pPr>
        <w:widowControl w:val="0"/>
        <w:ind w:firstLine="709"/>
        <w:jc w:val="both"/>
        <w:rPr>
          <w:rFonts w:cs="Times New Roman"/>
          <w:spacing w:val="-4"/>
          <w:sz w:val="28"/>
          <w:szCs w:val="28"/>
        </w:rPr>
      </w:pPr>
      <w:r w:rsidRPr="000C7357">
        <w:rPr>
          <w:rFonts w:cs="Times New Roman"/>
          <w:i/>
          <w:spacing w:val="-4"/>
          <w:szCs w:val="28"/>
        </w:rPr>
        <w:t>Thứ nhất,</w:t>
      </w:r>
      <w:r w:rsidRPr="000C7357">
        <w:rPr>
          <w:rFonts w:cs="Times New Roman"/>
          <w:spacing w:val="-4"/>
          <w:szCs w:val="28"/>
        </w:rPr>
        <w:t xml:space="preserve"> chuyển đổi nhận thức từ quản lý đối tượng sang bảo đảm quyền trong khuôn khổ pháp luật. Cơ quan nhà nước phải coi công dân, nhóm sáng lập viên, hội và hội viên là chủ thể quyền; hội phải gắn tự chủ với tuân thủ, minh bạch và trách nhiệm giải trình; công dân nhận thức đầy đủ cả quyền và giới hạn quyền.</w:t>
      </w:r>
    </w:p>
    <w:p w:rsidR="00D30159" w:rsidRPr="00AD0FC8" w:rsidRDefault="00FB5F40" w:rsidP="009C076A">
      <w:pPr>
        <w:widowControl w:val="0"/>
        <w:ind w:firstLine="709"/>
        <w:jc w:val="both"/>
        <w:rPr>
          <w:rFonts w:cs="Times New Roman"/>
          <w:sz w:val="28"/>
          <w:szCs w:val="28"/>
        </w:rPr>
      </w:pPr>
      <w:r w:rsidRPr="00AD0FC8">
        <w:rPr>
          <w:rFonts w:cs="Times New Roman"/>
          <w:i/>
          <w:szCs w:val="28"/>
        </w:rPr>
        <w:t>Thứ hai,</w:t>
      </w:r>
      <w:r w:rsidRPr="00AD0FC8">
        <w:rPr>
          <w:rFonts w:cs="Times New Roman"/>
          <w:szCs w:val="28"/>
        </w:rPr>
        <w:t xml:space="preserve"> kiện toàn bộ máy và nâng cao năng lực quản lý: phân định thẩm quyền, chuẩn hóa thủ tục, xây dựng cơ sở dữ liệu quốc gia, cung cấp dịch vụ công trực tuyến, đào tạo cán bộ về quyền con người và quản lý rủi ro, tăng phối hợp </w:t>
      </w:r>
      <w:r w:rsidRPr="00AD0FC8">
        <w:rPr>
          <w:rFonts w:cs="Times New Roman"/>
          <w:szCs w:val="28"/>
        </w:rPr>
        <w:lastRenderedPageBreak/>
        <w:t>liên ngành và công khai kết quả xử lý. Trước mắt cần xử lý những điểm chưa đồng bộ của Nghị định số 126/2024/NĐ-CP với mô hình chính quyền địa phương hai cấp; trung hạn xây dựng Luật về hội và rà soát luật liên quan; sau khi Luật được ban hành, tổ chức chuyển tiếp và hướng dẫn kịp thời.</w:t>
      </w:r>
    </w:p>
    <w:p w:rsidR="00D30159" w:rsidRPr="00AD0FC8" w:rsidRDefault="00FB5F40" w:rsidP="009C076A">
      <w:pPr>
        <w:widowControl w:val="0"/>
        <w:ind w:firstLine="709"/>
        <w:jc w:val="both"/>
        <w:rPr>
          <w:rFonts w:cs="Times New Roman"/>
          <w:sz w:val="28"/>
          <w:szCs w:val="28"/>
        </w:rPr>
      </w:pPr>
      <w:r w:rsidRPr="00AD0FC8">
        <w:rPr>
          <w:rFonts w:cs="Times New Roman"/>
          <w:i/>
          <w:szCs w:val="28"/>
        </w:rPr>
        <w:t>Thứ ba,</w:t>
      </w:r>
      <w:r w:rsidRPr="00AD0FC8">
        <w:rPr>
          <w:rFonts w:cs="Times New Roman"/>
          <w:szCs w:val="28"/>
        </w:rPr>
        <w:t xml:space="preserve"> hỗ trợ hội nâng cao năng lực pháp lý, quản trị, kế toán, công khai tài chính, chuyển đổi số, đại diện lợi ích và phản biện chính sách. Cơ chế giao nhiệm vụ, đặt hàng, hỗ trợ từ Nhà nước cần minh bạch, có điều kiện, gắn với kết quả và không làm suy giảm tính tự chủ.</w:t>
      </w:r>
    </w:p>
    <w:p w:rsidR="00D30159" w:rsidRPr="00AD0FC8" w:rsidRDefault="00FB5F40" w:rsidP="009C076A">
      <w:pPr>
        <w:widowControl w:val="0"/>
        <w:ind w:firstLine="709"/>
        <w:jc w:val="both"/>
        <w:rPr>
          <w:rFonts w:cs="Times New Roman"/>
          <w:sz w:val="28"/>
          <w:szCs w:val="28"/>
        </w:rPr>
      </w:pPr>
      <w:r w:rsidRPr="00AD0FC8">
        <w:rPr>
          <w:rFonts w:cs="Times New Roman"/>
          <w:i/>
          <w:szCs w:val="28"/>
        </w:rPr>
        <w:t>Thứ tư,</w:t>
      </w:r>
      <w:r w:rsidRPr="00AD0FC8">
        <w:rPr>
          <w:rFonts w:cs="Times New Roman"/>
          <w:szCs w:val="28"/>
        </w:rPr>
        <w:t xml:space="preserve"> phát huy vai trò của khiếu nại, khởi kiện và Tòa án trong kiểm soát quyền lực hành chính. Kết quả giải quyết phải có căn cứ, lập luận rõ; tăng khả năng tiếp cận tư vấn pháp lý; nâng cao năng lực của người giải quyết khiếu nại, Thẩm phán, luật sư; tổng kết thực tiễn xét xử và phát triển án lệ khi đủ điều kiện. Cơ chế tư pháp hiệu quả không làm giảm vai trò quản lý mà thúc đẩy quyết định hành chính hợp pháp, thận trọng và có trách nhiệm giải trình.</w:t>
      </w:r>
    </w:p>
    <w:p w:rsidR="00D30159" w:rsidRPr="009C076A" w:rsidRDefault="00FB5F40" w:rsidP="009C076A">
      <w:pPr>
        <w:pStyle w:val="Heading1"/>
      </w:pPr>
      <w:bookmarkStart w:id="37" w:name="_Toc237284401"/>
      <w:bookmarkStart w:id="38" w:name="_Toc240271456"/>
      <w:r w:rsidRPr="009C076A">
        <w:t>KẾT LUẬN</w:t>
      </w:r>
      <w:bookmarkEnd w:id="37"/>
      <w:bookmarkEnd w:id="38"/>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Quyền lập hội là quyền hiến định và là phương thức để cá nhân liên kết tự nguyện, theo đuổi mục đích chung hợp pháp, đại diện, bảo vệ lợi ích và tham gia đời sống xã hội. </w:t>
      </w:r>
      <w:r w:rsidRPr="00AD0FC8">
        <w:rPr>
          <w:rFonts w:cs="Times New Roman"/>
          <w:szCs w:val="28"/>
        </w:rPr>
        <w:lastRenderedPageBreak/>
        <w:t>Bảo đảm quyền này không dừng ở ghi nhận trong Hiến pháp mà đòi hỏi khuôn khổ pháp luật để quyền được thực hiện thuận lợi, hội được tự chủ trong giới hạn pháp luật và quyền lực hành chính được kiểm soát.</w:t>
      </w:r>
    </w:p>
    <w:p w:rsidR="00D30159" w:rsidRPr="00AD0FC8" w:rsidRDefault="00FB5F40" w:rsidP="009C076A">
      <w:pPr>
        <w:widowControl w:val="0"/>
        <w:ind w:firstLine="709"/>
        <w:jc w:val="both"/>
        <w:rPr>
          <w:rFonts w:cs="Times New Roman"/>
          <w:sz w:val="28"/>
          <w:szCs w:val="28"/>
        </w:rPr>
      </w:pPr>
      <w:r w:rsidRPr="00AD0FC8">
        <w:rPr>
          <w:rFonts w:cs="Times New Roman"/>
          <w:szCs w:val="28"/>
        </w:rPr>
        <w:t>Về lý luận, luận án làm rõ cấu trúc quyền gồm quyền thành lập, gia nhập, không gia nhập, rời khỏi hội; tham gia quản trị và hoạt động; tự chủ tổ chức, nhân sự, điều lệ, chương trình; tiếp cận nguồn lực hợp pháp; yêu cầu bảo vệ khi quyền bị xâm phạm. Việc phân biệt pháp luật về quyền lập hội với pháp luật về hội giúp chuyển trọng tâm từ quản lý hội sang ghi nhận, cụ thể hóa, bảo đảm, giới hạn và bảo vệ quyền. Hệ tám tiêu chí tạo khung kết nối giữa lý luận, đánh giá thực trạng và giải pháp.</w:t>
      </w:r>
    </w:p>
    <w:p w:rsidR="00D30159" w:rsidRPr="00AD0FC8" w:rsidRDefault="00FB5F40" w:rsidP="009C076A">
      <w:pPr>
        <w:widowControl w:val="0"/>
        <w:ind w:firstLine="709"/>
        <w:jc w:val="both"/>
        <w:rPr>
          <w:rFonts w:cs="Times New Roman"/>
          <w:sz w:val="28"/>
          <w:szCs w:val="28"/>
        </w:rPr>
      </w:pPr>
      <w:r w:rsidRPr="00AD0FC8">
        <w:rPr>
          <w:rFonts w:cs="Times New Roman"/>
          <w:szCs w:val="28"/>
        </w:rPr>
        <w:t xml:space="preserve">Về thực trạng, pháp luật đã tạo nền tảng cho thành lập, tổ chức, hoạt động và quản lý hội; Nghị định số 126/2024/NĐ-CP có nhiều bước tiến về chuẩn hóa thủ tục, quyền, nghĩa vụ, tài sản, báo cáo, đình chỉ và giải thể. Tuy nhiên, việc thiếu Luật về hội, nguồn luật phân tán, mô hình tiền kiểm, giới hạn quyền tự chủ, nghĩa vụ chưa phân tầng, dữ liệu và hậu kiểm chưa đồng đều, cơ chế tư pháp chưa rõ là những hạn chế có tính cấu trúc. Kết quả nghiên cứu xác nhận giả thuyết rằng khoảng cách giữa ghi nhận hiến định và </w:t>
      </w:r>
      <w:r w:rsidRPr="00AD0FC8">
        <w:rPr>
          <w:rFonts w:cs="Times New Roman"/>
          <w:szCs w:val="28"/>
        </w:rPr>
        <w:lastRenderedPageBreak/>
        <w:t>thực hiện quyền xuất phát từ tổng thể mô hình pháp lý và thực thi, không chỉ từ sự thiếu vắng một đạo luật.</w:t>
      </w:r>
    </w:p>
    <w:p w:rsidR="00D30159" w:rsidRPr="00AD0FC8" w:rsidRDefault="00FB5F40" w:rsidP="009C076A">
      <w:pPr>
        <w:widowControl w:val="0"/>
        <w:ind w:firstLine="709"/>
        <w:jc w:val="both"/>
        <w:rPr>
          <w:rFonts w:cs="Times New Roman"/>
          <w:sz w:val="28"/>
          <w:szCs w:val="28"/>
        </w:rPr>
      </w:pPr>
      <w:r w:rsidRPr="00AD0FC8">
        <w:rPr>
          <w:rFonts w:cs="Times New Roman"/>
          <w:szCs w:val="28"/>
        </w:rPr>
        <w:t>Về giải pháp, luận án đề xuất xây dựng Luật về hội dựa trên quyền; vận hành cơ chế đăng ký với căn cứ từ chối rõ; bảo đảm tự chủ; phân tầng nghĩa vụ công khai, báo cáo; quản lý dựa trên dữ liệu và rủi ro; tăng kiểm soát tư pháp; phân biệt trách nhiệm cá nhân với trách nhiệm hội; coi đình chỉ, giải thể là biện pháp cuối cùng. Cùng với đó phải đồng bộ hóa các luật liên quan, nâng cao năng lực quản lý và quản trị hội, bảo đảm chuyển tiếp ổn định và thích ứng với liên kết trên không gian mạng.</w:t>
      </w:r>
    </w:p>
    <w:p w:rsidR="00D30159" w:rsidRPr="00AD0FC8" w:rsidRDefault="00FB5F40" w:rsidP="009C076A">
      <w:pPr>
        <w:widowControl w:val="0"/>
        <w:ind w:firstLine="709"/>
        <w:jc w:val="both"/>
        <w:rPr>
          <w:rFonts w:cs="Times New Roman"/>
          <w:sz w:val="28"/>
          <w:szCs w:val="28"/>
        </w:rPr>
      </w:pPr>
      <w:r w:rsidRPr="00AD0FC8">
        <w:rPr>
          <w:rFonts w:cs="Times New Roman"/>
          <w:szCs w:val="28"/>
        </w:rPr>
        <w:t>Đóng góp tổng quát của luận án là đề xuất mô hình chuyển từ ghi nhận quyền sang bảo đảm quyền được thực hiện thực chất, đồng thời nâng cao hiệu quả quản lý nhà nước và bảo vệ lợi ích công cộng. Cách tiếp cận này phù hợp với yêu cầu xây dựng Nhà nước pháp quyền xã hội chủ nghĩa Việt Nam của Nhân dân, do Nhân dân và vì Nhân dân.</w:t>
      </w:r>
    </w:p>
    <w:p w:rsidR="009C076A" w:rsidRDefault="009C076A">
      <w:pPr>
        <w:spacing w:after="200" w:line="276" w:lineRule="auto"/>
        <w:rPr>
          <w:rFonts w:cstheme="majorBidi"/>
          <w:b/>
          <w:bCs/>
          <w:sz w:val="28"/>
          <w:szCs w:val="28"/>
        </w:rPr>
      </w:pPr>
      <w:bookmarkStart w:id="39" w:name="_Toc237284402"/>
      <w:r>
        <w:br w:type="page"/>
      </w:r>
    </w:p>
    <w:p w:rsidR="00D30159" w:rsidRPr="009C076A" w:rsidRDefault="00FB5F40" w:rsidP="009C076A">
      <w:pPr>
        <w:pStyle w:val="Heading1"/>
      </w:pPr>
      <w:bookmarkStart w:id="40" w:name="_Toc240271457"/>
      <w:r w:rsidRPr="009C076A">
        <w:lastRenderedPageBreak/>
        <w:t>HƯỚNG NGHIÊN CỨU TIẾP THEO</w:t>
      </w:r>
      <w:bookmarkEnd w:id="39"/>
      <w:bookmarkEnd w:id="40"/>
    </w:p>
    <w:p w:rsidR="00D30159" w:rsidRPr="00AD0FC8" w:rsidRDefault="00FB5F40" w:rsidP="009C076A">
      <w:pPr>
        <w:widowControl w:val="0"/>
        <w:ind w:firstLine="709"/>
        <w:jc w:val="both"/>
        <w:rPr>
          <w:rFonts w:cs="Times New Roman"/>
          <w:sz w:val="28"/>
          <w:szCs w:val="28"/>
        </w:rPr>
      </w:pPr>
      <w:r w:rsidRPr="00AD0FC8">
        <w:rPr>
          <w:rFonts w:cs="Times New Roman"/>
          <w:szCs w:val="28"/>
        </w:rPr>
        <w:t>Các hướng tiếp tục gồm: mô hình chi tiết của Luật về hội; thủ tục đăng ký trực tuyến và cơ sở dữ liệu quốc gia; cơ chế tài phán đối với quyết định về đăng ký, đình chỉ, giải thể; quản lý nguồn lực theo rủi ro; địa vị pháp lý của liên kết không đăng ký và mạng lưới trên không gian số; vai trò của hiệp hội trong phản biện chính sách, cung cấp dịch vụ và quản trị quốc gia.</w:t>
      </w:r>
    </w:p>
    <w:p w:rsidR="00D30159" w:rsidRPr="00AD0FC8" w:rsidRDefault="00D30159" w:rsidP="009C076A">
      <w:pPr>
        <w:widowControl w:val="0"/>
        <w:jc w:val="both"/>
        <w:rPr>
          <w:rFonts w:cs="Times New Roman"/>
          <w:sz w:val="28"/>
          <w:szCs w:val="28"/>
        </w:rPr>
      </w:pPr>
    </w:p>
    <w:sectPr w:rsidR="00D30159" w:rsidRPr="00AD0FC8" w:rsidSect="00AD0FC8">
      <w:headerReference w:type="default" r:id="rId9"/>
      <w:footerReference w:type="default" r:id="rId10"/>
      <w:pgSz w:w="8391" w:h="11906"/>
      <w:pgMar w:top="850" w:right="850" w:bottom="850" w:left="1134" w:header="454"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F71" w:rsidRDefault="00024F71">
      <w:pPr>
        <w:spacing w:line="240" w:lineRule="auto"/>
      </w:pPr>
      <w:r>
        <w:separator/>
      </w:r>
    </w:p>
  </w:endnote>
  <w:endnote w:type="continuationSeparator" w:id="0">
    <w:p w:rsidR="00024F71" w:rsidRDefault="00024F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159" w:rsidRDefault="00D30159">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F71" w:rsidRDefault="00024F71">
      <w:pPr>
        <w:spacing w:line="240" w:lineRule="auto"/>
      </w:pPr>
      <w:r>
        <w:separator/>
      </w:r>
    </w:p>
  </w:footnote>
  <w:footnote w:type="continuationSeparator" w:id="0">
    <w:p w:rsidR="00024F71" w:rsidRDefault="00024F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0815767"/>
      <w:docPartObj>
        <w:docPartGallery w:val="Page Numbers (Top of Page)"/>
        <w:docPartUnique/>
      </w:docPartObj>
    </w:sdtPr>
    <w:sdtEndPr>
      <w:rPr>
        <w:noProof/>
      </w:rPr>
    </w:sdtEndPr>
    <w:sdtContent>
      <w:p w:rsidR="00AD0FC8" w:rsidRDefault="00AD0FC8">
        <w:pPr>
          <w:pStyle w:val="Header"/>
          <w:jc w:val="center"/>
        </w:pPr>
        <w:r>
          <w:fldChar w:fldCharType="begin"/>
        </w:r>
        <w:r>
          <w:instrText xml:space="preserve"> PAGE   \* MERGEFORMAT </w:instrText>
        </w:r>
        <w:r>
          <w:fldChar w:fldCharType="separate"/>
        </w:r>
        <w:r w:rsidR="009C076A">
          <w:rPr>
            <w:noProof/>
          </w:rPr>
          <w:t>23</w:t>
        </w:r>
        <w:r>
          <w:rPr>
            <w:noProof/>
          </w:rPr>
          <w:fldChar w:fldCharType="end"/>
        </w:r>
      </w:p>
    </w:sdtContent>
  </w:sdt>
  <w:p w:rsidR="00AD0FC8" w:rsidRDefault="00AD0F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24F71"/>
    <w:rsid w:val="00034616"/>
    <w:rsid w:val="0006063C"/>
    <w:rsid w:val="000C7357"/>
    <w:rsid w:val="0014267B"/>
    <w:rsid w:val="0015074B"/>
    <w:rsid w:val="0029639D"/>
    <w:rsid w:val="00326F90"/>
    <w:rsid w:val="00700705"/>
    <w:rsid w:val="00867727"/>
    <w:rsid w:val="009C076A"/>
    <w:rsid w:val="00AA1D8D"/>
    <w:rsid w:val="00AD0FC8"/>
    <w:rsid w:val="00B47730"/>
    <w:rsid w:val="00C25819"/>
    <w:rsid w:val="00C472F3"/>
    <w:rsid w:val="00CB0664"/>
    <w:rsid w:val="00D30159"/>
    <w:rsid w:val="00DA2E4A"/>
    <w:rsid w:val="00FB5F4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0" w:line="360" w:lineRule="auto"/>
    </w:pPr>
    <w:rPr>
      <w:rFonts w:ascii="Times New Roman" w:eastAsia="Times New Roman" w:hAnsi="Times New Roman"/>
      <w:sz w:val="26"/>
    </w:rPr>
  </w:style>
  <w:style w:type="paragraph" w:styleId="Heading1">
    <w:name w:val="heading 1"/>
    <w:basedOn w:val="Normal"/>
    <w:next w:val="Normal"/>
    <w:link w:val="Heading1Char"/>
    <w:uiPriority w:val="9"/>
    <w:qFormat/>
    <w:rsid w:val="009C076A"/>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9C076A"/>
    <w:pPr>
      <w:keepNext/>
      <w:keepLines/>
      <w:ind w:firstLine="720"/>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9C076A"/>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9C076A"/>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unhideWhenUsed/>
    <w:rsid w:val="000C7357"/>
    <w:pPr>
      <w:spacing w:after="100"/>
    </w:pPr>
  </w:style>
  <w:style w:type="paragraph" w:styleId="TOC2">
    <w:name w:val="toc 2"/>
    <w:basedOn w:val="Normal"/>
    <w:next w:val="Normal"/>
    <w:autoRedefine/>
    <w:uiPriority w:val="39"/>
    <w:unhideWhenUsed/>
    <w:rsid w:val="000C7357"/>
    <w:pPr>
      <w:spacing w:after="100"/>
      <w:ind w:left="220"/>
    </w:pPr>
  </w:style>
  <w:style w:type="character" w:styleId="Hyperlink">
    <w:name w:val="Hyperlink"/>
    <w:basedOn w:val="DefaultParagraphFont"/>
    <w:uiPriority w:val="99"/>
    <w:unhideWhenUsed/>
    <w:rsid w:val="000C735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0" w:line="360" w:lineRule="auto"/>
    </w:pPr>
    <w:rPr>
      <w:rFonts w:ascii="Times New Roman" w:eastAsia="Times New Roman" w:hAnsi="Times New Roman"/>
      <w:sz w:val="26"/>
    </w:rPr>
  </w:style>
  <w:style w:type="paragraph" w:styleId="Heading1">
    <w:name w:val="heading 1"/>
    <w:basedOn w:val="Normal"/>
    <w:next w:val="Normal"/>
    <w:link w:val="Heading1Char"/>
    <w:uiPriority w:val="9"/>
    <w:qFormat/>
    <w:rsid w:val="009C076A"/>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9C076A"/>
    <w:pPr>
      <w:keepNext/>
      <w:keepLines/>
      <w:ind w:firstLine="720"/>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9C076A"/>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9C076A"/>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unhideWhenUsed/>
    <w:rsid w:val="000C7357"/>
    <w:pPr>
      <w:spacing w:after="100"/>
    </w:pPr>
  </w:style>
  <w:style w:type="paragraph" w:styleId="TOC2">
    <w:name w:val="toc 2"/>
    <w:basedOn w:val="Normal"/>
    <w:next w:val="Normal"/>
    <w:autoRedefine/>
    <w:uiPriority w:val="39"/>
    <w:unhideWhenUsed/>
    <w:rsid w:val="000C7357"/>
    <w:pPr>
      <w:spacing w:after="100"/>
      <w:ind w:left="220"/>
    </w:pPr>
  </w:style>
  <w:style w:type="character" w:styleId="Hyperlink">
    <w:name w:val="Hyperlink"/>
    <w:basedOn w:val="DefaultParagraphFont"/>
    <w:uiPriority w:val="99"/>
    <w:unhideWhenUsed/>
    <w:rsid w:val="000C73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C6491-ACD1-4BFD-8490-2BA7582B1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4131</Words>
  <Characters>23550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Tóm tắt luận án tiến sĩ luật học - Hoàng Thục Oanh</vt:lpstr>
    </vt:vector>
  </TitlesOfParts>
  <Company/>
  <LinksUpToDate>false</LinksUpToDate>
  <CharactersWithSpaces>27626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Tóm tắt luận án tiến sĩ luật học - Hoàng Thục Oanh</dc:title>
  <dc:subject>Hoàn thiện pháp luật về quyền lập hội ở Việt Nam hiện nay</dc:subject>
  <dc:creator>Hoàng Thục Oanh</dc:creator>
  <dc:description>generated by python-docx</dc:description>
  <cp:lastModifiedBy>Admin</cp:lastModifiedBy>
  <cp:revision>2</cp:revision>
  <cp:lastPrinted>2026-08-10T12:59:00Z</cp:lastPrinted>
  <dcterms:created xsi:type="dcterms:W3CDTF">2026-09-14T02:45:00Z</dcterms:created>
  <dcterms:modified xsi:type="dcterms:W3CDTF">2026-09-14T02:45:00Z</dcterms:modified>
</cp:coreProperties>
</file>